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279A" w14:textId="47D62914" w:rsidR="00DA496B" w:rsidRPr="001A52B4" w:rsidRDefault="00DA496B" w:rsidP="001A52B4">
      <w:pPr>
        <w:pStyle w:val="Heading1"/>
        <w:rPr>
          <w:sz w:val="36"/>
          <w:szCs w:val="36"/>
        </w:rPr>
      </w:pPr>
      <w:r w:rsidRPr="001A52B4">
        <w:rPr>
          <w:sz w:val="36"/>
          <w:szCs w:val="36"/>
        </w:rPr>
        <w:t>Introduction</w:t>
      </w:r>
      <w:r w:rsidR="001A52B4">
        <w:rPr>
          <w:sz w:val="36"/>
          <w:szCs w:val="36"/>
        </w:rPr>
        <w:t xml:space="preserve"> </w:t>
      </w:r>
      <w:r w:rsidR="001A52B4" w:rsidRPr="001A52B4">
        <w:rPr>
          <w:sz w:val="36"/>
          <w:szCs w:val="36"/>
        </w:rPr>
        <w:t>-</w:t>
      </w:r>
      <w:r w:rsidR="001A52B4">
        <w:rPr>
          <w:sz w:val="36"/>
          <w:szCs w:val="36"/>
        </w:rPr>
        <w:t xml:space="preserve"> </w:t>
      </w:r>
      <w:r w:rsidR="001C7521" w:rsidRPr="001A52B4">
        <w:rPr>
          <w:sz w:val="36"/>
          <w:szCs w:val="36"/>
        </w:rPr>
        <w:t xml:space="preserve">Model Watershed District Buffer Rule </w:t>
      </w:r>
      <w:r w:rsidR="00CB7AE8" w:rsidRPr="001A52B4">
        <w:rPr>
          <w:sz w:val="36"/>
          <w:szCs w:val="36"/>
        </w:rPr>
        <w:t>Revisions</w:t>
      </w:r>
    </w:p>
    <w:p w14:paraId="663CEEEA" w14:textId="0695551B" w:rsidR="001A52B4" w:rsidRDefault="001A52B4" w:rsidP="009A6A0E">
      <w:pPr>
        <w:pStyle w:val="Heading3"/>
      </w:pPr>
      <w:r>
        <w:tab/>
      </w:r>
      <w:r>
        <w:tab/>
      </w:r>
      <w:r>
        <w:tab/>
      </w:r>
      <w:r>
        <w:tab/>
      </w:r>
      <w:r>
        <w:tab/>
      </w:r>
      <w:r>
        <w:tab/>
      </w:r>
      <w:r>
        <w:tab/>
      </w:r>
      <w:r>
        <w:tab/>
      </w:r>
      <w:r>
        <w:tab/>
      </w:r>
      <w:r>
        <w:tab/>
        <w:t>July 10, 2026</w:t>
      </w:r>
    </w:p>
    <w:p w14:paraId="47F79E8F" w14:textId="7DF2CA04" w:rsidR="00DA496B" w:rsidRDefault="00866ED7" w:rsidP="009A6A0E">
      <w:pPr>
        <w:pStyle w:val="Heading3"/>
      </w:pPr>
      <w:r>
        <w:t>Background and Summary:</w:t>
      </w:r>
    </w:p>
    <w:p w14:paraId="7290D878" w14:textId="275D7275" w:rsidR="00974FFA" w:rsidRPr="00B92C5B" w:rsidRDefault="00F51E60" w:rsidP="009A6A0E">
      <w:r w:rsidRPr="00F51E60">
        <w:t xml:space="preserve">The Minnesota Board of Water and Soil Resources (BWSR) has updated its comprehensive model </w:t>
      </w:r>
      <w:r w:rsidR="00B92C5B">
        <w:t xml:space="preserve">rule </w:t>
      </w:r>
      <w:r w:rsidRPr="00F51E60">
        <w:t>language to reflect changes related to Board-adopted procedures and revisions to the Administrative Penalty Order Plan</w:t>
      </w:r>
      <w:r w:rsidR="00377AA2">
        <w:t xml:space="preserve"> (APO)</w:t>
      </w:r>
      <w:r w:rsidRPr="00F51E60">
        <w:t xml:space="preserve">. While many of these updates are </w:t>
      </w:r>
      <w:r w:rsidR="00E90C3E">
        <w:t>elective</w:t>
      </w:r>
      <w:r w:rsidRPr="00F51E60">
        <w:t xml:space="preserve">, certain revisions are required to ensure the </w:t>
      </w:r>
      <w:r w:rsidR="00377AA2">
        <w:t xml:space="preserve">Buffer </w:t>
      </w:r>
      <w:r w:rsidR="00B92C5B">
        <w:t>Rule</w:t>
      </w:r>
      <w:r w:rsidRPr="00F51E60">
        <w:t xml:space="preserve"> </w:t>
      </w:r>
      <w:r w:rsidR="00A218A4">
        <w:t xml:space="preserve">provisions </w:t>
      </w:r>
      <w:r w:rsidR="00606353" w:rsidRPr="00F51E60">
        <w:t>align</w:t>
      </w:r>
      <w:r w:rsidRPr="00F51E60">
        <w:t xml:space="preserve"> with </w:t>
      </w:r>
      <w:r w:rsidR="00A218A4">
        <w:t>those document</w:t>
      </w:r>
      <w:r w:rsidR="00606353">
        <w:t xml:space="preserve"> requirements that include </w:t>
      </w:r>
      <w:r w:rsidRPr="00F51E60">
        <w:t xml:space="preserve">sufficient provisions for effective compliance and enforcement of Minn. Stat. § 103F.48 (the buffer law). Incorporating these required updates is necessary to obtain a determination of jurisdiction under Minn. Stat. § 103F.48, </w:t>
      </w:r>
      <w:r w:rsidR="00C6362C">
        <w:t>Subd</w:t>
      </w:r>
      <w:r w:rsidRPr="00F51E60">
        <w:t>. (j).</w:t>
      </w:r>
    </w:p>
    <w:p w14:paraId="3AA1B759" w14:textId="1D3F4CC0" w:rsidR="00B92C5B" w:rsidRPr="00C4711C" w:rsidRDefault="00974FFA" w:rsidP="009A6A0E">
      <w:pPr>
        <w:pStyle w:val="Heading3"/>
        <w:rPr>
          <w:color w:val="196B24" w:themeColor="accent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Required</w:t>
      </w:r>
      <w:r w:rsidR="00770D2A">
        <w:t xml:space="preserve"> Changes</w:t>
      </w:r>
      <w:r w:rsidR="00466959">
        <w:t xml:space="preserve"> </w:t>
      </w:r>
      <w:r w:rsidR="00466959" w:rsidRPr="00C4711C">
        <w:rPr>
          <w:color w:val="196B24" w:themeColor="accent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w:t>
      </w:r>
      <w:r w:rsidR="00C1257D" w:rsidRPr="00C4711C">
        <w:rPr>
          <w:color w:val="196B24" w:themeColor="accent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highlighted using </w:t>
      </w:r>
      <w:r w:rsidR="00466959" w:rsidRPr="00C4711C">
        <w:rPr>
          <w:color w:val="196B24" w:themeColor="accent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text effects in the template rule)</w:t>
      </w:r>
    </w:p>
    <w:p w14:paraId="03BA1B4E" w14:textId="409281E9" w:rsidR="00974FFA" w:rsidRDefault="00974FFA" w:rsidP="00974FFA">
      <w:pPr>
        <w:rPr>
          <w:u w:val="single"/>
        </w:rPr>
      </w:pPr>
      <w:r w:rsidRPr="00605F35">
        <w:rPr>
          <w:u w:val="single"/>
        </w:rPr>
        <w:t xml:space="preserve">Section </w:t>
      </w:r>
      <w:r w:rsidR="00B92C5B">
        <w:rPr>
          <w:u w:val="single"/>
        </w:rPr>
        <w:t>6</w:t>
      </w:r>
      <w:r w:rsidRPr="00605F35">
        <w:rPr>
          <w:u w:val="single"/>
        </w:rPr>
        <w:t>.0 Compliance Determinations</w:t>
      </w:r>
    </w:p>
    <w:p w14:paraId="4B2A1D7F" w14:textId="77777777" w:rsidR="00B92C5B" w:rsidRDefault="00974FFA" w:rsidP="00974FFA">
      <w:pPr>
        <w:pStyle w:val="ListParagraph"/>
        <w:numPr>
          <w:ilvl w:val="0"/>
          <w:numId w:val="3"/>
        </w:numPr>
      </w:pPr>
      <w:r>
        <w:t xml:space="preserve">Subsection </w:t>
      </w:r>
      <w:r w:rsidR="00B92C5B">
        <w:t>6</w:t>
      </w:r>
      <w:r>
        <w:t>.4 now clearly establishes that a Corrective Action Notice</w:t>
      </w:r>
      <w:r w:rsidRPr="003B1BFC">
        <w:t xml:space="preserve"> must </w:t>
      </w:r>
      <w:r>
        <w:t xml:space="preserve">be issued within 45 days after receipt of a Notice of Noncompliance to ensure timely progress toward compliance. </w:t>
      </w:r>
    </w:p>
    <w:p w14:paraId="0B57B543" w14:textId="19917861" w:rsidR="00974FFA" w:rsidRDefault="00B92C5B" w:rsidP="00974FFA">
      <w:pPr>
        <w:pStyle w:val="ListParagraph"/>
        <w:numPr>
          <w:ilvl w:val="0"/>
          <w:numId w:val="3"/>
        </w:numPr>
      </w:pPr>
      <w:r>
        <w:t>Subsection 6.4.2 s</w:t>
      </w:r>
      <w:r w:rsidR="00974FFA">
        <w:t>pecifies that the compliance period may not exceed 11 months</w:t>
      </w:r>
      <w:r>
        <w:t xml:space="preserve"> unless properly extended</w:t>
      </w:r>
      <w:r w:rsidR="00974FFA">
        <w:t>.</w:t>
      </w:r>
    </w:p>
    <w:p w14:paraId="3ED180FD" w14:textId="60219970" w:rsidR="00974FFA" w:rsidRDefault="00974FFA" w:rsidP="00974FFA">
      <w:pPr>
        <w:pStyle w:val="ListParagraph"/>
        <w:numPr>
          <w:ilvl w:val="0"/>
          <w:numId w:val="3"/>
        </w:numPr>
      </w:pPr>
      <w:r>
        <w:t xml:space="preserve">Subsection </w:t>
      </w:r>
      <w:r w:rsidR="00B92C5B">
        <w:t>6</w:t>
      </w:r>
      <w:r>
        <w:t>.4.</w:t>
      </w:r>
      <w:r w:rsidR="00B92C5B">
        <w:t>3</w:t>
      </w:r>
      <w:r>
        <w:t xml:space="preserve"> permits a one-time 60-day extension of the Corrective Action Notice deadline, provided the landowner submits a request before the end of the 11-month period. This extension requires written approval, proper documentation, and notification to BWSR.</w:t>
      </w:r>
    </w:p>
    <w:p w14:paraId="064E45DA" w14:textId="3B29D4D0" w:rsidR="00974FFA" w:rsidRDefault="00974FFA" w:rsidP="00974FFA">
      <w:pPr>
        <w:pStyle w:val="ListParagraph"/>
        <w:numPr>
          <w:ilvl w:val="0"/>
          <w:numId w:val="3"/>
        </w:numPr>
      </w:pPr>
      <w:r>
        <w:t xml:space="preserve">Subsection </w:t>
      </w:r>
      <w:r w:rsidR="00B92C5B">
        <w:t>6</w:t>
      </w:r>
      <w:r>
        <w:t>.4.</w:t>
      </w:r>
      <w:r w:rsidR="00B92C5B">
        <w:t>5</w:t>
      </w:r>
      <w:r>
        <w:t xml:space="preserve"> clarifies that the </w:t>
      </w:r>
      <w:r w:rsidR="009E14F1">
        <w:t>d</w:t>
      </w:r>
      <w:r w:rsidR="00B92C5B">
        <w:t>istrict</w:t>
      </w:r>
      <w:r>
        <w:t xml:space="preserve"> must notify BWSR once a parcel is determined to be compliant. While this step was previously assumed, it is now explicitly required under Board-adopted procedures.</w:t>
      </w:r>
    </w:p>
    <w:p w14:paraId="2C644D84" w14:textId="732D535F" w:rsidR="00974FFA" w:rsidRDefault="00974FFA" w:rsidP="00974FFA">
      <w:pPr>
        <w:rPr>
          <w:u w:val="single"/>
        </w:rPr>
      </w:pPr>
      <w:r w:rsidRPr="0081344E">
        <w:rPr>
          <w:u w:val="single"/>
        </w:rPr>
        <w:t xml:space="preserve">Section </w:t>
      </w:r>
      <w:r w:rsidR="00B92C5B">
        <w:rPr>
          <w:u w:val="single"/>
        </w:rPr>
        <w:t>7</w:t>
      </w:r>
      <w:r w:rsidRPr="0081344E">
        <w:rPr>
          <w:u w:val="single"/>
        </w:rPr>
        <w:t xml:space="preserve">.0 Enforcement  </w:t>
      </w:r>
    </w:p>
    <w:p w14:paraId="28D88BAB" w14:textId="058C7693" w:rsidR="00974FFA" w:rsidRDefault="00974FFA" w:rsidP="009A6A0E">
      <w:pPr>
        <w:pStyle w:val="ListParagraph"/>
        <w:numPr>
          <w:ilvl w:val="0"/>
          <w:numId w:val="3"/>
        </w:numPr>
      </w:pPr>
      <w:r>
        <w:t xml:space="preserve">Subsection </w:t>
      </w:r>
      <w:r w:rsidR="004800D3">
        <w:t>7</w:t>
      </w:r>
      <w:r>
        <w:t>.</w:t>
      </w:r>
      <w:r w:rsidR="004800D3">
        <w:t>2</w:t>
      </w:r>
      <w:r w:rsidR="00770D2A">
        <w:t>:</w:t>
      </w:r>
      <w:r>
        <w:t xml:space="preserve"> The </w:t>
      </w:r>
      <w:r w:rsidR="009E14F1">
        <w:t>d</w:t>
      </w:r>
      <w:r w:rsidR="004800D3">
        <w:t>istrict</w:t>
      </w:r>
      <w:r>
        <w:t xml:space="preserve"> is required to initiate enforcement within 30 days following the compliance deadline stated in the Corrective Action Notice. The landowner has already had sufficient time to achieve compliance. The requirement is intended to provide regulatory certainty, ensure fair and timely resolution, and promote parcel compliance. </w:t>
      </w:r>
    </w:p>
    <w:p w14:paraId="08A8A23B" w14:textId="22BC7C5E" w:rsidR="00770D2A" w:rsidRDefault="00974FFA" w:rsidP="009A6A0E">
      <w:pPr>
        <w:pStyle w:val="ListParagraph"/>
        <w:numPr>
          <w:ilvl w:val="0"/>
          <w:numId w:val="3"/>
        </w:numPr>
      </w:pPr>
      <w:r w:rsidRPr="009A6A0E">
        <w:t>Subsection</w:t>
      </w:r>
      <w:r>
        <w:t xml:space="preserve"> </w:t>
      </w:r>
      <w:r w:rsidR="004800D3">
        <w:t>7</w:t>
      </w:r>
      <w:r>
        <w:t>.2</w:t>
      </w:r>
      <w:r w:rsidR="002D1ECF">
        <w:t>.1</w:t>
      </w:r>
      <w:r w:rsidR="00770D2A">
        <w:t>:</w:t>
      </w:r>
      <w:r>
        <w:t xml:space="preserve"> The APO amount for an initial violation has been increased to align with the amended APO Plan. These changes apply when a </w:t>
      </w:r>
      <w:r w:rsidR="009E14F1">
        <w:t>district</w:t>
      </w:r>
      <w:r>
        <w:t xml:space="preserve"> elects to </w:t>
      </w:r>
      <w:r>
        <w:lastRenderedPageBreak/>
        <w:t xml:space="preserve">use APO as an enforcement tool, and the </w:t>
      </w:r>
      <w:r w:rsidR="009E14F1">
        <w:t>district</w:t>
      </w:r>
      <w:r>
        <w:t xml:space="preserve"> must select a penalty amount within the specified range listed. No changes were made to the repeat violation portion of this subsection, except to clarify that it applies to the same parcel and landowner.</w:t>
      </w:r>
    </w:p>
    <w:p w14:paraId="6FBC1885" w14:textId="30DA6EA7" w:rsidR="00230A92" w:rsidRPr="009A6A0E" w:rsidRDefault="00230A92" w:rsidP="009A6A0E">
      <w:pPr>
        <w:pStyle w:val="ListParagraph"/>
        <w:numPr>
          <w:ilvl w:val="0"/>
          <w:numId w:val="3"/>
        </w:numPr>
      </w:pPr>
      <w:r w:rsidRPr="009A6A0E">
        <w:t>Section 7.9: Compliance verification language has been added to describe how the district will determine and document compliance.</w:t>
      </w:r>
      <w:r w:rsidR="0056472E" w:rsidRPr="0056472E">
        <w:t xml:space="preserve"> </w:t>
      </w:r>
      <w:r w:rsidR="0056472E">
        <w:t xml:space="preserve">This language was in the template ordinance and has been inserted in the rule for consistency. </w:t>
      </w:r>
      <w:r w:rsidRPr="009A6A0E">
        <w:t xml:space="preserve"> </w:t>
      </w:r>
      <w:r w:rsidR="008448B6">
        <w:t xml:space="preserve">In addition, the </w:t>
      </w:r>
      <w:r w:rsidRPr="00546763">
        <w:t xml:space="preserve">SWCD </w:t>
      </w:r>
      <w:r w:rsidRPr="003B1BFC">
        <w:t>must</w:t>
      </w:r>
      <w:r w:rsidRPr="00546763">
        <w:t xml:space="preserve"> be involved in verification when an alternative practice is used. </w:t>
      </w:r>
      <w:r w:rsidR="0056472E">
        <w:t>Finally,</w:t>
      </w:r>
      <w:r w:rsidR="008448B6">
        <w:t xml:space="preserve"> notification to </w:t>
      </w:r>
      <w:r w:rsidRPr="00546763">
        <w:t>both the SWCD and BWSR of compliance verification</w:t>
      </w:r>
      <w:r w:rsidR="008448B6">
        <w:t xml:space="preserve"> is required</w:t>
      </w:r>
      <w:r w:rsidRPr="00546763">
        <w:t>.</w:t>
      </w:r>
    </w:p>
    <w:p w14:paraId="1D6CA745" w14:textId="0F18E230" w:rsidR="00230A92" w:rsidRDefault="004800D3" w:rsidP="009A6A0E">
      <w:pPr>
        <w:pStyle w:val="ListParagraph"/>
        <w:numPr>
          <w:ilvl w:val="0"/>
          <w:numId w:val="3"/>
        </w:numPr>
      </w:pPr>
      <w:r>
        <w:t>Subsection 7.9</w:t>
      </w:r>
      <w:r w:rsidR="00C6362C">
        <w:t>.1:</w:t>
      </w:r>
      <w:r>
        <w:t xml:space="preserve"> Outlines the appropriate appeal process as specified in statute. </w:t>
      </w:r>
    </w:p>
    <w:p w14:paraId="2CFF93DC" w14:textId="47F51761" w:rsidR="00770D2A" w:rsidRPr="00770D2A" w:rsidRDefault="00770D2A" w:rsidP="009A6A0E">
      <w:pPr>
        <w:pStyle w:val="ListParagraph"/>
        <w:numPr>
          <w:ilvl w:val="0"/>
          <w:numId w:val="3"/>
        </w:numPr>
      </w:pPr>
      <w:r w:rsidRPr="00770D2A">
        <w:t xml:space="preserve">Subsection </w:t>
      </w:r>
      <w:r w:rsidR="004800D3" w:rsidRPr="009A6A0E">
        <w:t>7.9.6</w:t>
      </w:r>
      <w:r w:rsidRPr="009A6A0E">
        <w:t>:</w:t>
      </w:r>
      <w:r w:rsidRPr="00770D2A">
        <w:t xml:space="preserve"> Action to ensure compliance now requires that if a parcel remains noncompliant six months after the initiation of enforcement action, further measures must be taken to bring the parcel into compliance. This ensures that enforcement measures will be actively pursued. </w:t>
      </w:r>
    </w:p>
    <w:p w14:paraId="02C41949" w14:textId="77777777" w:rsidR="00770D2A" w:rsidRDefault="00770D2A" w:rsidP="00770D2A">
      <w:pPr>
        <w:pStyle w:val="ListParagraph"/>
        <w:ind w:left="1440"/>
      </w:pPr>
    </w:p>
    <w:p w14:paraId="2D26B28E" w14:textId="334FFD99" w:rsidR="00974FFA" w:rsidRDefault="00974FFA" w:rsidP="009A6A0E">
      <w:pPr>
        <w:pStyle w:val="Heading3"/>
      </w:pPr>
      <w:r>
        <w:t>Recommended</w:t>
      </w:r>
      <w:r w:rsidR="00770D2A">
        <w:t xml:space="preserve"> Changes</w:t>
      </w:r>
    </w:p>
    <w:p w14:paraId="2F41EA8C" w14:textId="7A39D8AF" w:rsidR="00974FFA" w:rsidRDefault="00974FFA" w:rsidP="00974FFA">
      <w:r w:rsidRPr="00D75016">
        <w:rPr>
          <w:u w:val="single"/>
        </w:rPr>
        <w:t>Section 1.0 Statutory Authorization and Policy</w:t>
      </w:r>
    </w:p>
    <w:p w14:paraId="52982ECC" w14:textId="1345CB41" w:rsidR="00974FFA" w:rsidRDefault="00974FFA" w:rsidP="00974FFA">
      <w:r>
        <w:t xml:space="preserve">Minor revisions have been made to improve clarity and usability, including the ability to insert the specific </w:t>
      </w:r>
      <w:r w:rsidR="00755096">
        <w:t xml:space="preserve">district </w:t>
      </w:r>
      <w:r>
        <w:t xml:space="preserve">name into the template for consistent reference throughout the </w:t>
      </w:r>
      <w:r w:rsidR="00755096">
        <w:t>rule</w:t>
      </w:r>
      <w:r>
        <w:t xml:space="preserve">, clarification of roles and responsibilities, and the inclusion of a “note” as to the usefulness of establishing a framework for cooperation between parties associated with the ordinance. </w:t>
      </w:r>
    </w:p>
    <w:p w14:paraId="334839B4" w14:textId="15C9CFE9" w:rsidR="00974FFA" w:rsidRPr="00D75016" w:rsidRDefault="00974FFA" w:rsidP="00974FFA">
      <w:pPr>
        <w:rPr>
          <w:u w:val="single"/>
        </w:rPr>
      </w:pPr>
      <w:r w:rsidRPr="00D75016">
        <w:rPr>
          <w:u w:val="single"/>
        </w:rPr>
        <w:t>Section 2.0 Definitions</w:t>
      </w:r>
    </w:p>
    <w:p w14:paraId="7B05BB01" w14:textId="1F272AB2" w:rsidR="00974FFA" w:rsidRDefault="00974FFA" w:rsidP="00974FFA">
      <w:r>
        <w:t xml:space="preserve">Several definitions were added to enhance clarity and consistency with terminology contained throughout the template </w:t>
      </w:r>
      <w:r w:rsidR="00755096">
        <w:t>rule</w:t>
      </w:r>
      <w:r>
        <w:t xml:space="preserve">. In addition, the term “severability” which functions as an action rather than a definition, was relocated to a separate section at the end of the </w:t>
      </w:r>
      <w:r w:rsidR="00755096">
        <w:t>rule</w:t>
      </w:r>
      <w:r>
        <w:t xml:space="preserve"> (Section </w:t>
      </w:r>
      <w:r w:rsidR="00755096">
        <w:t>8</w:t>
      </w:r>
      <w:r>
        <w:t xml:space="preserve">.0). </w:t>
      </w:r>
    </w:p>
    <w:p w14:paraId="196C63F7" w14:textId="77777777" w:rsidR="00974FFA" w:rsidRDefault="00974FFA" w:rsidP="00974FFA">
      <w:pPr>
        <w:rPr>
          <w:u w:val="single"/>
        </w:rPr>
      </w:pPr>
      <w:r w:rsidRPr="00D75016">
        <w:rPr>
          <w:u w:val="single"/>
        </w:rPr>
        <w:t>Section 4.0 Jurisdiction and Buffer Requirements</w:t>
      </w:r>
    </w:p>
    <w:p w14:paraId="07FE1159" w14:textId="74A4677B" w:rsidR="00974FFA" w:rsidRDefault="00974FFA" w:rsidP="00974FFA">
      <w:r>
        <w:t xml:space="preserve">A note was  added regarding BWSR’s statutory authority to establish requirements for implementation of the Buffer Law.  Optional language addressing pre-existing land uses (grandfathering), or nonconformities was removed. This term typically applies to land use and structures and is not generally applicable to establishment of buffers. </w:t>
      </w:r>
    </w:p>
    <w:p w14:paraId="3FB432A8" w14:textId="187D7532" w:rsidR="00804366" w:rsidRDefault="00804366" w:rsidP="00974FFA">
      <w:pPr>
        <w:rPr>
          <w:u w:val="single"/>
        </w:rPr>
      </w:pPr>
      <w:r w:rsidRPr="00804366">
        <w:rPr>
          <w:u w:val="single"/>
        </w:rPr>
        <w:lastRenderedPageBreak/>
        <w:t>Section 5.0 (Optional) Drainage System Acquisition and Compensation for a Buffer</w:t>
      </w:r>
    </w:p>
    <w:p w14:paraId="0D1493DF" w14:textId="5FCEE654" w:rsidR="00804366" w:rsidRDefault="00804366" w:rsidP="00974FFA">
      <w:r>
        <w:t xml:space="preserve">Now clearly </w:t>
      </w:r>
      <w:r w:rsidR="00377AA2">
        <w:t>i</w:t>
      </w:r>
      <w:r>
        <w:t xml:space="preserve">ndicates (in Subsection 5.5) that the process shall not delay compliance and enforcement proceedings </w:t>
      </w:r>
      <w:r w:rsidR="00232A6F">
        <w:t xml:space="preserve">under Sections 6 and 7 of the </w:t>
      </w:r>
      <w:proofErr w:type="gramStart"/>
      <w:r w:rsidR="00232A6F">
        <w:t>rule</w:t>
      </w:r>
      <w:proofErr w:type="gramEnd"/>
      <w:r w:rsidR="00232A6F">
        <w:t xml:space="preserve">. </w:t>
      </w:r>
    </w:p>
    <w:p w14:paraId="13F2C63F" w14:textId="5E229C28" w:rsidR="00232A6F" w:rsidRDefault="00232A6F" w:rsidP="00974FFA">
      <w:r w:rsidRPr="00232A6F">
        <w:rPr>
          <w:u w:val="single"/>
        </w:rPr>
        <w:t>Section 7.0 Enforcement</w:t>
      </w:r>
    </w:p>
    <w:p w14:paraId="1864764A" w14:textId="50C511DD" w:rsidR="00232A6F" w:rsidRDefault="00232A6F" w:rsidP="00974FFA">
      <w:r>
        <w:t>A subsection on reporting and documentation (7.9</w:t>
      </w:r>
      <w:r w:rsidR="00377AA2">
        <w:t>.</w:t>
      </w:r>
      <w:r>
        <w:t xml:space="preserve">7) was added </w:t>
      </w:r>
      <w:r w:rsidR="003915C1">
        <w:t xml:space="preserve">to ensure districts are recording certain documentation on potential violations.  This language was in the template ordinance and has been inserted in the rule for consistency.   </w:t>
      </w:r>
    </w:p>
    <w:p w14:paraId="7596D1D3" w14:textId="004664B5" w:rsidR="004E3152" w:rsidRPr="00232A6F" w:rsidRDefault="004E3152" w:rsidP="00974FFA"/>
    <w:p w14:paraId="03BC6F63" w14:textId="17F35CF2" w:rsidR="00974FFA" w:rsidRPr="00974FFA" w:rsidRDefault="00974FFA" w:rsidP="009A6A0E">
      <w:pPr>
        <w:pStyle w:val="Heading3"/>
      </w:pPr>
      <w:r>
        <w:t>Other Updates</w:t>
      </w:r>
    </w:p>
    <w:p w14:paraId="52644447" w14:textId="452BDFBB" w:rsidR="00974FFA" w:rsidRPr="009A6A0E" w:rsidRDefault="009A6A0E" w:rsidP="009A6A0E">
      <w:pPr>
        <w:pStyle w:val="ListParagraph"/>
        <w:numPr>
          <w:ilvl w:val="0"/>
          <w:numId w:val="8"/>
        </w:numPr>
        <w:rPr>
          <w:rFonts w:cs="Calibri"/>
        </w:rPr>
      </w:pPr>
      <w:r>
        <w:rPr>
          <w:rFonts w:cs="Calibri"/>
        </w:rPr>
        <w:t>T</w:t>
      </w:r>
      <w:r w:rsidR="00F51E60" w:rsidRPr="009A6A0E">
        <w:rPr>
          <w:rFonts w:cs="Calibri"/>
        </w:rPr>
        <w:t>he document’s numbering has been revised due to the addition and removal of subsections</w:t>
      </w:r>
      <w:r>
        <w:rPr>
          <w:rFonts w:cs="Calibri"/>
        </w:rPr>
        <w:t>.</w:t>
      </w:r>
    </w:p>
    <w:p w14:paraId="5136BDD6" w14:textId="1CC58807" w:rsidR="00B745F6" w:rsidRPr="009A6A0E" w:rsidRDefault="009A6A0E" w:rsidP="009A6A0E">
      <w:pPr>
        <w:pStyle w:val="ListParagraph"/>
        <w:numPr>
          <w:ilvl w:val="0"/>
          <w:numId w:val="8"/>
        </w:numPr>
        <w:rPr>
          <w:rFonts w:cs="Calibri"/>
        </w:rPr>
      </w:pPr>
      <w:r>
        <w:rPr>
          <w:rFonts w:cs="Calibri"/>
        </w:rPr>
        <w:t>N</w:t>
      </w:r>
      <w:r w:rsidR="00F51E60" w:rsidRPr="009A6A0E">
        <w:rPr>
          <w:rFonts w:cs="Calibri"/>
        </w:rPr>
        <w:t xml:space="preserve">ote boxes have been included </w:t>
      </w:r>
      <w:r w:rsidR="00974FFA" w:rsidRPr="009A6A0E">
        <w:rPr>
          <w:rFonts w:cs="Calibri"/>
        </w:rPr>
        <w:t>with the template</w:t>
      </w:r>
      <w:r w:rsidR="009E14F1" w:rsidRPr="009A6A0E">
        <w:rPr>
          <w:rFonts w:cs="Calibri"/>
        </w:rPr>
        <w:t xml:space="preserve"> </w:t>
      </w:r>
      <w:r w:rsidR="00F51E60" w:rsidRPr="009A6A0E">
        <w:rPr>
          <w:rFonts w:cs="Calibri"/>
        </w:rPr>
        <w:t xml:space="preserve">to provide additional context; these should be removed when finalizing the ordinance for adoption. In general, the updated model </w:t>
      </w:r>
      <w:r w:rsidR="00755096" w:rsidRPr="009A6A0E">
        <w:rPr>
          <w:rFonts w:cs="Calibri"/>
        </w:rPr>
        <w:t>rule</w:t>
      </w:r>
      <w:r w:rsidR="00606353" w:rsidRPr="009A6A0E">
        <w:rPr>
          <w:rFonts w:cs="Calibri"/>
        </w:rPr>
        <w:t xml:space="preserve"> template </w:t>
      </w:r>
      <w:r w:rsidR="00F51E60" w:rsidRPr="009A6A0E">
        <w:rPr>
          <w:rFonts w:cs="Calibri"/>
        </w:rPr>
        <w:t xml:space="preserve">is </w:t>
      </w:r>
      <w:r w:rsidR="002A2C16" w:rsidRPr="009A6A0E">
        <w:rPr>
          <w:rFonts w:cs="Calibri"/>
        </w:rPr>
        <w:t xml:space="preserve">clearer </w:t>
      </w:r>
      <w:r w:rsidR="00606353" w:rsidRPr="009A6A0E">
        <w:rPr>
          <w:rFonts w:cs="Calibri"/>
        </w:rPr>
        <w:t xml:space="preserve">and </w:t>
      </w:r>
      <w:r w:rsidR="002A2C16" w:rsidRPr="009A6A0E">
        <w:rPr>
          <w:rFonts w:cs="Calibri"/>
        </w:rPr>
        <w:t xml:space="preserve">more </w:t>
      </w:r>
      <w:r w:rsidR="005572A8" w:rsidRPr="009A6A0E">
        <w:rPr>
          <w:rFonts w:cs="Calibri"/>
        </w:rPr>
        <w:t>organized</w:t>
      </w:r>
      <w:r w:rsidR="00232A6F" w:rsidRPr="009A6A0E">
        <w:rPr>
          <w:rFonts w:cs="Calibri"/>
        </w:rPr>
        <w:t>.</w:t>
      </w:r>
      <w:r w:rsidR="00974FFA" w:rsidRPr="009A6A0E">
        <w:rPr>
          <w:rFonts w:cs="Calibri"/>
        </w:rPr>
        <w:t xml:space="preserve"> </w:t>
      </w:r>
    </w:p>
    <w:p w14:paraId="238E96E4" w14:textId="51CF0548" w:rsidR="00B745F6" w:rsidRPr="009A6A0E" w:rsidRDefault="00B745F6" w:rsidP="009A6A0E">
      <w:pPr>
        <w:pStyle w:val="ListParagraph"/>
        <w:numPr>
          <w:ilvl w:val="0"/>
          <w:numId w:val="8"/>
        </w:numPr>
        <w:rPr>
          <w:rFonts w:cs="Calibri"/>
        </w:rPr>
      </w:pPr>
      <w:r w:rsidRPr="009A6A0E">
        <w:rPr>
          <w:rFonts w:cs="Calibri"/>
        </w:rPr>
        <w:t xml:space="preserve">In Section 4.0 the Jurisdictional Options were broken down further into four options vs three. Select the one that applies to </w:t>
      </w:r>
      <w:r w:rsidR="00232A6F" w:rsidRPr="009A6A0E">
        <w:rPr>
          <w:rFonts w:cs="Calibri"/>
        </w:rPr>
        <w:t xml:space="preserve">the district’s </w:t>
      </w:r>
      <w:r w:rsidR="008448B6" w:rsidRPr="009A6A0E">
        <w:rPr>
          <w:rFonts w:cs="Calibri"/>
        </w:rPr>
        <w:t>election of jurisdiction</w:t>
      </w:r>
      <w:r w:rsidRPr="009A6A0E">
        <w:rPr>
          <w:rFonts w:cs="Calibri"/>
        </w:rPr>
        <w:t xml:space="preserve"> and remove the others.</w:t>
      </w:r>
      <w:r w:rsidR="003A7DA2" w:rsidRPr="009A6A0E">
        <w:rPr>
          <w:rFonts w:cs="Calibri"/>
        </w:rPr>
        <w:t xml:space="preserve"> In addition, the requirement that an individual needs to obtain a permit from the district to establish a buffer was removed. To our knowledge there is no permitting requirement for this. </w:t>
      </w:r>
    </w:p>
    <w:p w14:paraId="3F943CDD" w14:textId="040544B3" w:rsidR="00974FFA" w:rsidRPr="009A6A0E" w:rsidRDefault="00974FFA" w:rsidP="00974FFA">
      <w:pPr>
        <w:pStyle w:val="ListParagraph"/>
        <w:numPr>
          <w:ilvl w:val="0"/>
          <w:numId w:val="8"/>
        </w:numPr>
        <w:rPr>
          <w:rFonts w:eastAsia="Times New Roman" w:cs="Calibri"/>
          <w:kern w:val="0"/>
          <w14:ligatures w14:val="none"/>
        </w:rPr>
      </w:pPr>
      <w:r w:rsidRPr="009A6A0E">
        <w:rPr>
          <w:rFonts w:cs="Calibri"/>
        </w:rPr>
        <w:t xml:space="preserve">In Section </w:t>
      </w:r>
      <w:r w:rsidR="00755096" w:rsidRPr="009A6A0E">
        <w:rPr>
          <w:rFonts w:cs="Calibri"/>
        </w:rPr>
        <w:t>6</w:t>
      </w:r>
      <w:r w:rsidRPr="009A6A0E">
        <w:rPr>
          <w:rFonts w:cs="Calibri"/>
        </w:rPr>
        <w:t>.0 (Compliance Determinations</w:t>
      </w:r>
      <w:r w:rsidR="003915C1" w:rsidRPr="009A6A0E">
        <w:rPr>
          <w:rFonts w:cs="Calibri"/>
        </w:rPr>
        <w:t xml:space="preserve"> previously titled Action for Compliance</w:t>
      </w:r>
      <w:r w:rsidRPr="009A6A0E">
        <w:rPr>
          <w:rFonts w:cs="Calibri"/>
        </w:rPr>
        <w:t xml:space="preserve">), the alignment and titles of subsections </w:t>
      </w:r>
      <w:r w:rsidR="00755096" w:rsidRPr="009A6A0E">
        <w:rPr>
          <w:rFonts w:cs="Calibri"/>
        </w:rPr>
        <w:t>6</w:t>
      </w:r>
      <w:r w:rsidRPr="009A6A0E">
        <w:rPr>
          <w:rFonts w:cs="Calibri"/>
        </w:rPr>
        <w:t xml:space="preserve">.2 and </w:t>
      </w:r>
      <w:r w:rsidR="00755096" w:rsidRPr="009A6A0E">
        <w:rPr>
          <w:rFonts w:cs="Calibri"/>
        </w:rPr>
        <w:t>6</w:t>
      </w:r>
      <w:r w:rsidRPr="009A6A0E">
        <w:rPr>
          <w:rFonts w:cs="Calibri"/>
        </w:rPr>
        <w:t xml:space="preserve">.3 have been revised to better reflect the actual sequential steps for determining parcel compliance. </w:t>
      </w:r>
    </w:p>
    <w:p w14:paraId="65B15880" w14:textId="2F9678E7" w:rsidR="001A7825" w:rsidRPr="009A6A0E" w:rsidRDefault="001A21A0" w:rsidP="00974FFA">
      <w:pPr>
        <w:pStyle w:val="ListParagraph"/>
        <w:numPr>
          <w:ilvl w:val="0"/>
          <w:numId w:val="8"/>
        </w:numPr>
        <w:rPr>
          <w:rFonts w:eastAsia="Times New Roman" w:cs="Calibri"/>
          <w:kern w:val="0"/>
          <w14:ligatures w14:val="none"/>
        </w:rPr>
      </w:pPr>
      <w:r w:rsidRPr="009A6A0E">
        <w:rPr>
          <w:rFonts w:eastAsia="Times New Roman" w:cs="Calibri"/>
          <w:kern w:val="0"/>
          <w14:ligatures w14:val="none"/>
        </w:rPr>
        <w:t xml:space="preserve">Section 7.4: </w:t>
      </w:r>
      <w:r w:rsidR="001A7825" w:rsidRPr="009A6A0E">
        <w:rPr>
          <w:rFonts w:eastAsia="Times New Roman" w:cs="Calibri"/>
          <w:kern w:val="0"/>
          <w14:ligatures w14:val="none"/>
        </w:rPr>
        <w:t xml:space="preserve">The </w:t>
      </w:r>
      <w:r w:rsidRPr="009A6A0E">
        <w:rPr>
          <w:rFonts w:eastAsia="Times New Roman" w:cs="Calibri"/>
          <w:kern w:val="0"/>
          <w14:ligatures w14:val="none"/>
        </w:rPr>
        <w:t xml:space="preserve">language associated with a </w:t>
      </w:r>
      <w:r w:rsidR="00232A6F" w:rsidRPr="009A6A0E">
        <w:rPr>
          <w:rFonts w:eastAsia="Times New Roman" w:cs="Calibri"/>
          <w:kern w:val="0"/>
          <w14:ligatures w14:val="none"/>
        </w:rPr>
        <w:t xml:space="preserve">local </w:t>
      </w:r>
      <w:r w:rsidRPr="009A6A0E">
        <w:rPr>
          <w:rFonts w:eastAsia="Times New Roman" w:cs="Calibri"/>
          <w:kern w:val="0"/>
          <w14:ligatures w14:val="none"/>
        </w:rPr>
        <w:t xml:space="preserve">compliance hearing for </w:t>
      </w:r>
      <w:r w:rsidR="00804366" w:rsidRPr="009A6A0E">
        <w:rPr>
          <w:rFonts w:eastAsia="Times New Roman" w:cs="Calibri"/>
          <w:kern w:val="0"/>
          <w14:ligatures w14:val="none"/>
        </w:rPr>
        <w:t>issuance of</w:t>
      </w:r>
      <w:r w:rsidRPr="009A6A0E">
        <w:rPr>
          <w:rFonts w:eastAsia="Times New Roman" w:cs="Calibri"/>
          <w:kern w:val="0"/>
          <w14:ligatures w14:val="none"/>
        </w:rPr>
        <w:t xml:space="preserve"> a</w:t>
      </w:r>
      <w:r w:rsidR="008448B6" w:rsidRPr="009A6A0E">
        <w:rPr>
          <w:rFonts w:eastAsia="Times New Roman" w:cs="Calibri"/>
          <w:kern w:val="0"/>
          <w14:ligatures w14:val="none"/>
        </w:rPr>
        <w:t>n</w:t>
      </w:r>
      <w:r w:rsidRPr="009A6A0E">
        <w:rPr>
          <w:rFonts w:eastAsia="Times New Roman" w:cs="Calibri"/>
          <w:kern w:val="0"/>
          <w14:ligatures w14:val="none"/>
        </w:rPr>
        <w:t xml:space="preserve"> </w:t>
      </w:r>
      <w:r w:rsidR="001A7825" w:rsidRPr="009A6A0E">
        <w:rPr>
          <w:rFonts w:eastAsia="Times New Roman" w:cs="Calibri"/>
          <w:kern w:val="0"/>
          <w14:ligatures w14:val="none"/>
        </w:rPr>
        <w:t>A</w:t>
      </w:r>
      <w:r w:rsidR="00377AA2">
        <w:rPr>
          <w:rFonts w:eastAsia="Times New Roman" w:cs="Calibri"/>
          <w:kern w:val="0"/>
          <w14:ligatures w14:val="none"/>
        </w:rPr>
        <w:t>PO</w:t>
      </w:r>
      <w:r w:rsidR="001A7825" w:rsidRPr="009A6A0E">
        <w:rPr>
          <w:rFonts w:eastAsia="Times New Roman" w:cs="Calibri"/>
          <w:kern w:val="0"/>
          <w14:ligatures w14:val="none"/>
        </w:rPr>
        <w:t xml:space="preserve"> is now optional. It was originally included to provide districts with flexibility in addressing concerns related to a new law and rule provision, but it is not required by statute or Board procedures</w:t>
      </w:r>
      <w:r w:rsidRPr="009A6A0E">
        <w:rPr>
          <w:rFonts w:eastAsia="Times New Roman" w:cs="Calibri"/>
          <w:kern w:val="0"/>
          <w14:ligatures w14:val="none"/>
        </w:rPr>
        <w:t>.</w:t>
      </w:r>
      <w:r w:rsidR="00804366" w:rsidRPr="009A6A0E">
        <w:rPr>
          <w:rFonts w:eastAsia="Times New Roman" w:cs="Calibri"/>
          <w:kern w:val="0"/>
          <w14:ligatures w14:val="none"/>
        </w:rPr>
        <w:t xml:space="preserve"> I</w:t>
      </w:r>
      <w:r w:rsidR="00232A6F" w:rsidRPr="009A6A0E">
        <w:rPr>
          <w:rFonts w:eastAsia="Times New Roman" w:cs="Calibri"/>
          <w:kern w:val="0"/>
          <w14:ligatures w14:val="none"/>
        </w:rPr>
        <w:t>f a district elects to have a local hearing it</w:t>
      </w:r>
      <w:r w:rsidR="00804366" w:rsidRPr="009A6A0E">
        <w:rPr>
          <w:rFonts w:eastAsia="Times New Roman" w:cs="Calibri"/>
          <w:kern w:val="0"/>
          <w14:ligatures w14:val="none"/>
        </w:rPr>
        <w:t xml:space="preserve"> must </w:t>
      </w:r>
      <w:r w:rsidR="008448B6" w:rsidRPr="009A6A0E">
        <w:rPr>
          <w:rFonts w:eastAsia="Times New Roman" w:cs="Calibri"/>
          <w:kern w:val="0"/>
          <w14:ligatures w14:val="none"/>
        </w:rPr>
        <w:t xml:space="preserve">now </w:t>
      </w:r>
      <w:r w:rsidR="00804366" w:rsidRPr="009A6A0E">
        <w:rPr>
          <w:rFonts w:eastAsia="Times New Roman" w:cs="Calibri"/>
          <w:kern w:val="0"/>
          <w14:ligatures w14:val="none"/>
        </w:rPr>
        <w:t xml:space="preserve">be conducted in a matter that doesn’t affect the required timeline for pursuing enforcement. </w:t>
      </w:r>
    </w:p>
    <w:p w14:paraId="777A4296" w14:textId="3C1EAE7C" w:rsidR="00B96393" w:rsidRPr="009A6A0E" w:rsidRDefault="00770D2A" w:rsidP="00B96393">
      <w:pPr>
        <w:pStyle w:val="ListParagraph"/>
        <w:numPr>
          <w:ilvl w:val="0"/>
          <w:numId w:val="8"/>
        </w:numPr>
        <w:rPr>
          <w:rFonts w:eastAsia="Times New Roman" w:cs="Calibri"/>
          <w:kern w:val="0"/>
          <w14:ligatures w14:val="none"/>
        </w:rPr>
      </w:pPr>
      <w:r w:rsidRPr="009A6A0E">
        <w:rPr>
          <w:rFonts w:eastAsia="Times New Roman" w:cs="Calibri"/>
          <w:kern w:val="0"/>
          <w14:ligatures w14:val="none"/>
        </w:rPr>
        <w:t xml:space="preserve">Section </w:t>
      </w:r>
      <w:r w:rsidR="00232A6F" w:rsidRPr="009A6A0E">
        <w:rPr>
          <w:rFonts w:eastAsia="Times New Roman" w:cs="Calibri"/>
          <w:kern w:val="0"/>
          <w14:ligatures w14:val="none"/>
        </w:rPr>
        <w:t>8</w:t>
      </w:r>
      <w:r w:rsidRPr="009A6A0E">
        <w:rPr>
          <w:rFonts w:eastAsia="Times New Roman" w:cs="Calibri"/>
          <w:kern w:val="0"/>
          <w14:ligatures w14:val="none"/>
        </w:rPr>
        <w:t xml:space="preserve">.0 </w:t>
      </w:r>
      <w:r w:rsidR="003915C1" w:rsidRPr="009A6A0E">
        <w:rPr>
          <w:rFonts w:eastAsia="Times New Roman" w:cs="Calibri"/>
          <w:kern w:val="0"/>
          <w14:ligatures w14:val="none"/>
        </w:rPr>
        <w:t xml:space="preserve"> is now titled </w:t>
      </w:r>
      <w:r w:rsidRPr="009A6A0E">
        <w:rPr>
          <w:rFonts w:eastAsia="Times New Roman" w:cs="Calibri"/>
          <w:kern w:val="0"/>
          <w14:ligatures w14:val="none"/>
        </w:rPr>
        <w:t>Severability</w:t>
      </w:r>
      <w:r w:rsidR="003915C1" w:rsidRPr="009A6A0E">
        <w:rPr>
          <w:rFonts w:eastAsia="Times New Roman" w:cs="Calibri"/>
          <w:kern w:val="0"/>
          <w14:ligatures w14:val="none"/>
        </w:rPr>
        <w:t xml:space="preserve"> </w:t>
      </w:r>
      <w:r w:rsidR="00377AA2">
        <w:rPr>
          <w:rFonts w:eastAsia="Times New Roman" w:cs="Calibri"/>
          <w:kern w:val="0"/>
          <w14:ligatures w14:val="none"/>
        </w:rPr>
        <w:t>versus</w:t>
      </w:r>
      <w:r w:rsidR="003915C1" w:rsidRPr="009A6A0E">
        <w:rPr>
          <w:rFonts w:eastAsia="Times New Roman" w:cs="Calibri"/>
          <w:kern w:val="0"/>
          <w14:ligatures w14:val="none"/>
        </w:rPr>
        <w:t xml:space="preserve"> Effect of the Rule</w:t>
      </w:r>
      <w:r w:rsidRPr="009A6A0E">
        <w:rPr>
          <w:rFonts w:eastAsia="Times New Roman" w:cs="Calibri"/>
          <w:kern w:val="0"/>
          <w14:ligatures w14:val="none"/>
        </w:rPr>
        <w:t>.</w:t>
      </w:r>
    </w:p>
    <w:p w14:paraId="2859681C" w14:textId="131115B7" w:rsidR="00B96393" w:rsidRPr="009A6A0E" w:rsidRDefault="00B96393" w:rsidP="00B96393">
      <w:pPr>
        <w:pStyle w:val="ListParagraph"/>
        <w:numPr>
          <w:ilvl w:val="0"/>
          <w:numId w:val="8"/>
        </w:numPr>
      </w:pPr>
      <w:r w:rsidRPr="009A6A0E">
        <w:t xml:space="preserve">Section 9.0 </w:t>
      </w:r>
      <w:r w:rsidR="00232A6F" w:rsidRPr="009A6A0E">
        <w:t xml:space="preserve">was created </w:t>
      </w:r>
      <w:r w:rsidRPr="009A6A0E">
        <w:t xml:space="preserve">to highlight </w:t>
      </w:r>
      <w:r w:rsidR="0056472E" w:rsidRPr="009A6A0E">
        <w:t xml:space="preserve">existing </w:t>
      </w:r>
      <w:r w:rsidRPr="009A6A0E">
        <w:t xml:space="preserve">language associated with future rule amendments. </w:t>
      </w:r>
    </w:p>
    <w:p w14:paraId="7B0E87BC" w14:textId="77777777" w:rsidR="00B96393" w:rsidRPr="00B96393" w:rsidRDefault="00B96393" w:rsidP="00B96393">
      <w:pPr>
        <w:ind w:left="360"/>
        <w:rPr>
          <w:rFonts w:ascii="Calibri" w:eastAsia="Times New Roman" w:hAnsi="Calibri" w:cs="Calibri"/>
          <w:kern w:val="0"/>
          <w14:ligatures w14:val="none"/>
        </w:rPr>
      </w:pPr>
    </w:p>
    <w:p w14:paraId="09557CF7" w14:textId="77777777" w:rsidR="00770D2A" w:rsidRPr="00974FFA" w:rsidRDefault="00770D2A" w:rsidP="00770D2A">
      <w:pPr>
        <w:pStyle w:val="ListParagraph"/>
        <w:rPr>
          <w:rFonts w:ascii="Calibri" w:eastAsia="Times New Roman" w:hAnsi="Calibri" w:cs="Calibri"/>
          <w:kern w:val="0"/>
          <w14:ligatures w14:val="none"/>
        </w:rPr>
      </w:pPr>
    </w:p>
    <w:p w14:paraId="00622882" w14:textId="13683DAF" w:rsidR="00770D2A" w:rsidRPr="00770D2A" w:rsidRDefault="00770D2A" w:rsidP="009A6A0E">
      <w:pPr>
        <w:pStyle w:val="Heading3"/>
      </w:pPr>
      <w:r>
        <w:lastRenderedPageBreak/>
        <w:t>Adoption and Next Steps</w:t>
      </w:r>
    </w:p>
    <w:p w14:paraId="2502D848" w14:textId="2B937ABF" w:rsidR="00606353" w:rsidRDefault="00606353" w:rsidP="009A6A0E">
      <w:r>
        <w:t xml:space="preserve">The timeline for adoption is 12 months from </w:t>
      </w:r>
      <w:r w:rsidR="001A52B4">
        <w:t>the date of this posting</w:t>
      </w:r>
      <w:r>
        <w:t xml:space="preserve">.  Please refer to </w:t>
      </w:r>
      <w:r w:rsidR="00440AB4">
        <w:t xml:space="preserve">Buffer </w:t>
      </w:r>
      <w:r>
        <w:t xml:space="preserve">Procedure 2 for </w:t>
      </w:r>
      <w:r w:rsidR="00440AB4">
        <w:t xml:space="preserve">BWSR’s </w:t>
      </w:r>
      <w:r>
        <w:t xml:space="preserve">review of county ordinances </w:t>
      </w:r>
      <w:r w:rsidR="00974FFA" w:rsidRPr="009A6A0E">
        <w:t>(</w:t>
      </w:r>
      <w:hyperlink r:id="rId7" w:history="1">
        <w:r w:rsidR="00595C7E" w:rsidRPr="009A6A0E">
          <w:rPr>
            <w:rStyle w:val="Hyperlink"/>
            <w:rFonts w:cs="Calibri"/>
          </w:rPr>
          <w:t>Buffer Program Procedures</w:t>
        </w:r>
        <w:r w:rsidR="00974FFA" w:rsidRPr="009A6A0E">
          <w:t>)</w:t>
        </w:r>
        <w:r w:rsidR="00595C7E" w:rsidRPr="009A6A0E">
          <w:t>.</w:t>
        </w:r>
      </w:hyperlink>
      <w:r w:rsidR="00595C7E">
        <w:t xml:space="preserve"> Please note that </w:t>
      </w:r>
      <w:r w:rsidR="002A2C16">
        <w:t xml:space="preserve">in most cases these revisions will not affect a </w:t>
      </w:r>
      <w:r w:rsidR="00C6362C">
        <w:t>d</w:t>
      </w:r>
      <w:r w:rsidR="00ED21F3">
        <w:t>istrict’s</w:t>
      </w:r>
      <w:r w:rsidR="002A2C16">
        <w:t xml:space="preserve"> </w:t>
      </w:r>
      <w:r w:rsidR="0068019A">
        <w:t>prior</w:t>
      </w:r>
      <w:r w:rsidR="002A2C16">
        <w:t xml:space="preserve"> election of jurisdiction</w:t>
      </w:r>
      <w:r w:rsidR="00595C7E">
        <w:t xml:space="preserve">. </w:t>
      </w:r>
      <w:r w:rsidR="002A2C16">
        <w:t>However, i</w:t>
      </w:r>
      <w:r w:rsidR="00595C7E">
        <w:t xml:space="preserve">f a </w:t>
      </w:r>
      <w:r w:rsidR="00C6362C">
        <w:t>d</w:t>
      </w:r>
      <w:r w:rsidR="00ED21F3">
        <w:t>istrict</w:t>
      </w:r>
      <w:r w:rsidR="00595C7E">
        <w:t xml:space="preserve"> </w:t>
      </w:r>
      <w:r w:rsidR="002A2C16">
        <w:t xml:space="preserve">chooses </w:t>
      </w:r>
      <w:r w:rsidR="00595C7E">
        <w:t xml:space="preserve">to change its </w:t>
      </w:r>
      <w:r w:rsidR="002A2C16">
        <w:t xml:space="preserve">previous election of jurisdiction, formal notice must be sent to BWSR at least 60 days prior to the effective date as prescribed in </w:t>
      </w:r>
      <w:r w:rsidR="00AF466D">
        <w:t xml:space="preserve">Buffer </w:t>
      </w:r>
      <w:r w:rsidR="002A2C16">
        <w:t xml:space="preserve">Procedure 1. </w:t>
      </w:r>
    </w:p>
    <w:p w14:paraId="347E2B57" w14:textId="08236651" w:rsidR="00770D2A" w:rsidRPr="00C6362C" w:rsidRDefault="00770D2A" w:rsidP="00C6362C">
      <w:pPr>
        <w:pStyle w:val="Heading3"/>
      </w:pPr>
    </w:p>
    <w:p w14:paraId="4F5F4E3B" w14:textId="77777777" w:rsidR="000749A8" w:rsidRDefault="000749A8" w:rsidP="00BB16CD">
      <w:pPr>
        <w:pStyle w:val="ListParagraph"/>
        <w:ind w:left="1440"/>
      </w:pPr>
    </w:p>
    <w:p w14:paraId="3616A65D" w14:textId="77777777" w:rsidR="00B47B34" w:rsidRDefault="00B47B34" w:rsidP="00BB16CD">
      <w:pPr>
        <w:pStyle w:val="ListParagraph"/>
        <w:ind w:left="1440"/>
      </w:pPr>
    </w:p>
    <w:p w14:paraId="78AA3FAE" w14:textId="77777777" w:rsidR="00B47B34" w:rsidRDefault="00B47B34" w:rsidP="00BB16CD">
      <w:pPr>
        <w:pStyle w:val="ListParagraph"/>
        <w:ind w:left="1440"/>
      </w:pPr>
    </w:p>
    <w:p w14:paraId="269C8F1C" w14:textId="77777777" w:rsidR="00B30F1C" w:rsidRDefault="00B30F1C" w:rsidP="00BB16CD">
      <w:pPr>
        <w:pStyle w:val="ListParagraph"/>
        <w:ind w:left="1440"/>
      </w:pPr>
    </w:p>
    <w:p w14:paraId="6DC8EF64" w14:textId="77777777" w:rsidR="00B30F1C" w:rsidRPr="0081344E" w:rsidRDefault="00B30F1C" w:rsidP="00BB16CD">
      <w:pPr>
        <w:pStyle w:val="ListParagraph"/>
        <w:ind w:left="1440"/>
      </w:pPr>
    </w:p>
    <w:p w14:paraId="79393D3D" w14:textId="0E784435" w:rsidR="00605F35" w:rsidRPr="00605F35" w:rsidRDefault="00605F35" w:rsidP="00605F35">
      <w:pPr>
        <w:pStyle w:val="ListParagraph"/>
        <w:ind w:left="1080"/>
        <w:rPr>
          <w:u w:val="single"/>
        </w:rPr>
      </w:pPr>
    </w:p>
    <w:sectPr w:rsidR="00605F35" w:rsidRPr="00605F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D475" w14:textId="77777777" w:rsidR="003B1DDC" w:rsidRDefault="003B1DDC" w:rsidP="00CB7AE8">
      <w:pPr>
        <w:spacing w:after="0" w:line="240" w:lineRule="auto"/>
      </w:pPr>
      <w:r>
        <w:separator/>
      </w:r>
    </w:p>
  </w:endnote>
  <w:endnote w:type="continuationSeparator" w:id="0">
    <w:p w14:paraId="3613E405" w14:textId="77777777" w:rsidR="003B1DDC" w:rsidRDefault="003B1DDC" w:rsidP="00CB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4751" w14:textId="77777777" w:rsidR="00C6362C" w:rsidRDefault="00C63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696047"/>
      <w:docPartObj>
        <w:docPartGallery w:val="Page Numbers (Bottom of Page)"/>
        <w:docPartUnique/>
      </w:docPartObj>
    </w:sdtPr>
    <w:sdtEndPr>
      <w:rPr>
        <w:color w:val="747474" w:themeColor="background2" w:themeShade="80"/>
        <w:spacing w:val="60"/>
      </w:rPr>
    </w:sdtEndPr>
    <w:sdtContent>
      <w:p w14:paraId="515CFE64" w14:textId="207AD3BA" w:rsidR="000B4B1C" w:rsidRDefault="000B4B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495E9A">
          <w:rPr>
            <w:color w:val="747474" w:themeColor="background2" w:themeShade="80"/>
            <w:spacing w:val="60"/>
          </w:rPr>
          <w:t>Page</w:t>
        </w:r>
      </w:p>
    </w:sdtContent>
  </w:sdt>
  <w:p w14:paraId="3F29AA14" w14:textId="77777777" w:rsidR="00CB7AE8" w:rsidRDefault="00CB7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F49B" w14:textId="77777777" w:rsidR="00C6362C" w:rsidRDefault="00C63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8F3F" w14:textId="77777777" w:rsidR="003B1DDC" w:rsidRDefault="003B1DDC" w:rsidP="00CB7AE8">
      <w:pPr>
        <w:spacing w:after="0" w:line="240" w:lineRule="auto"/>
      </w:pPr>
      <w:r>
        <w:separator/>
      </w:r>
    </w:p>
  </w:footnote>
  <w:footnote w:type="continuationSeparator" w:id="0">
    <w:p w14:paraId="7CBB0BF5" w14:textId="77777777" w:rsidR="003B1DDC" w:rsidRDefault="003B1DDC" w:rsidP="00CB7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57D9" w14:textId="77777777" w:rsidR="00C6362C" w:rsidRDefault="00C63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4E48" w14:textId="094552BD" w:rsidR="00CB7AE8" w:rsidRDefault="00CB7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A988" w14:textId="77777777" w:rsidR="00C6362C" w:rsidRDefault="00C63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374"/>
    <w:multiLevelType w:val="hybridMultilevel"/>
    <w:tmpl w:val="73DC3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32AA3"/>
    <w:multiLevelType w:val="hybridMultilevel"/>
    <w:tmpl w:val="4EA8F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E57499"/>
    <w:multiLevelType w:val="hybridMultilevel"/>
    <w:tmpl w:val="B5889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312AA3"/>
    <w:multiLevelType w:val="hybridMultilevel"/>
    <w:tmpl w:val="9ED6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1562C"/>
    <w:multiLevelType w:val="hybridMultilevel"/>
    <w:tmpl w:val="223E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AB6CA0"/>
    <w:multiLevelType w:val="multilevel"/>
    <w:tmpl w:val="E756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A622E9"/>
    <w:multiLevelType w:val="hybridMultilevel"/>
    <w:tmpl w:val="DEC81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5031EB"/>
    <w:multiLevelType w:val="hybridMultilevel"/>
    <w:tmpl w:val="A932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317796">
    <w:abstractNumId w:val="3"/>
  </w:num>
  <w:num w:numId="2" w16cid:durableId="119107684">
    <w:abstractNumId w:val="6"/>
  </w:num>
  <w:num w:numId="3" w16cid:durableId="140118014">
    <w:abstractNumId w:val="2"/>
  </w:num>
  <w:num w:numId="4" w16cid:durableId="295454751">
    <w:abstractNumId w:val="1"/>
  </w:num>
  <w:num w:numId="5" w16cid:durableId="646864311">
    <w:abstractNumId w:val="7"/>
  </w:num>
  <w:num w:numId="6" w16cid:durableId="658538413">
    <w:abstractNumId w:val="5"/>
  </w:num>
  <w:num w:numId="7" w16cid:durableId="978264993">
    <w:abstractNumId w:val="0"/>
  </w:num>
  <w:num w:numId="8" w16cid:durableId="1345129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6B"/>
    <w:rsid w:val="00017122"/>
    <w:rsid w:val="00025D87"/>
    <w:rsid w:val="000749A8"/>
    <w:rsid w:val="00091EAF"/>
    <w:rsid w:val="000B4B1C"/>
    <w:rsid w:val="000F616F"/>
    <w:rsid w:val="00122C02"/>
    <w:rsid w:val="00145E33"/>
    <w:rsid w:val="00150909"/>
    <w:rsid w:val="00172B30"/>
    <w:rsid w:val="001736EB"/>
    <w:rsid w:val="001773A0"/>
    <w:rsid w:val="00177FFE"/>
    <w:rsid w:val="001A21A0"/>
    <w:rsid w:val="001A52B4"/>
    <w:rsid w:val="001A7825"/>
    <w:rsid w:val="001C7521"/>
    <w:rsid w:val="001D6931"/>
    <w:rsid w:val="001E3121"/>
    <w:rsid w:val="00213F69"/>
    <w:rsid w:val="00214651"/>
    <w:rsid w:val="00230A92"/>
    <w:rsid w:val="00232A6F"/>
    <w:rsid w:val="002535B8"/>
    <w:rsid w:val="0027200F"/>
    <w:rsid w:val="002A2C16"/>
    <w:rsid w:val="002D1ECF"/>
    <w:rsid w:val="002F0FC7"/>
    <w:rsid w:val="003442DF"/>
    <w:rsid w:val="003446D8"/>
    <w:rsid w:val="003631C5"/>
    <w:rsid w:val="003633F2"/>
    <w:rsid w:val="00370A24"/>
    <w:rsid w:val="00377AA2"/>
    <w:rsid w:val="003915C1"/>
    <w:rsid w:val="00394DCA"/>
    <w:rsid w:val="003A7DA2"/>
    <w:rsid w:val="003B1BFC"/>
    <w:rsid w:val="003B1DDC"/>
    <w:rsid w:val="003B7E87"/>
    <w:rsid w:val="003E01D3"/>
    <w:rsid w:val="003F05B2"/>
    <w:rsid w:val="003F0725"/>
    <w:rsid w:val="003F7BED"/>
    <w:rsid w:val="00403E2F"/>
    <w:rsid w:val="00407DF4"/>
    <w:rsid w:val="00440AB4"/>
    <w:rsid w:val="00466959"/>
    <w:rsid w:val="00471FE2"/>
    <w:rsid w:val="004800D3"/>
    <w:rsid w:val="00495E9A"/>
    <w:rsid w:val="004A00EA"/>
    <w:rsid w:val="004B3720"/>
    <w:rsid w:val="004D192C"/>
    <w:rsid w:val="004D69A8"/>
    <w:rsid w:val="004E3152"/>
    <w:rsid w:val="005461DE"/>
    <w:rsid w:val="00546763"/>
    <w:rsid w:val="005572A8"/>
    <w:rsid w:val="0056472E"/>
    <w:rsid w:val="00583100"/>
    <w:rsid w:val="00593A30"/>
    <w:rsid w:val="00595C7E"/>
    <w:rsid w:val="005A3C4E"/>
    <w:rsid w:val="005C474D"/>
    <w:rsid w:val="005F245B"/>
    <w:rsid w:val="0060217D"/>
    <w:rsid w:val="00604522"/>
    <w:rsid w:val="00605F35"/>
    <w:rsid w:val="00606353"/>
    <w:rsid w:val="006179D6"/>
    <w:rsid w:val="006240EC"/>
    <w:rsid w:val="00646625"/>
    <w:rsid w:val="0068019A"/>
    <w:rsid w:val="00695DED"/>
    <w:rsid w:val="006F2D60"/>
    <w:rsid w:val="00703B4C"/>
    <w:rsid w:val="0071155A"/>
    <w:rsid w:val="00755096"/>
    <w:rsid w:val="00770D2A"/>
    <w:rsid w:val="00771D60"/>
    <w:rsid w:val="007E27BA"/>
    <w:rsid w:val="00800C93"/>
    <w:rsid w:val="00804366"/>
    <w:rsid w:val="0081344E"/>
    <w:rsid w:val="008448B6"/>
    <w:rsid w:val="0084501F"/>
    <w:rsid w:val="00864558"/>
    <w:rsid w:val="00866ED7"/>
    <w:rsid w:val="00875D06"/>
    <w:rsid w:val="00893AA9"/>
    <w:rsid w:val="008F52F6"/>
    <w:rsid w:val="0092420A"/>
    <w:rsid w:val="0096666E"/>
    <w:rsid w:val="00974FFA"/>
    <w:rsid w:val="009A6808"/>
    <w:rsid w:val="009A6A0E"/>
    <w:rsid w:val="009C052E"/>
    <w:rsid w:val="009D1676"/>
    <w:rsid w:val="009E14F1"/>
    <w:rsid w:val="00A0005D"/>
    <w:rsid w:val="00A140E4"/>
    <w:rsid w:val="00A218A4"/>
    <w:rsid w:val="00AA31C1"/>
    <w:rsid w:val="00AA424F"/>
    <w:rsid w:val="00AA52D1"/>
    <w:rsid w:val="00AF466D"/>
    <w:rsid w:val="00B0567D"/>
    <w:rsid w:val="00B30F1C"/>
    <w:rsid w:val="00B47B34"/>
    <w:rsid w:val="00B745F6"/>
    <w:rsid w:val="00B92C5B"/>
    <w:rsid w:val="00B9566F"/>
    <w:rsid w:val="00B96393"/>
    <w:rsid w:val="00BA4EC9"/>
    <w:rsid w:val="00BA60FA"/>
    <w:rsid w:val="00BB16CD"/>
    <w:rsid w:val="00BC176D"/>
    <w:rsid w:val="00BE35F3"/>
    <w:rsid w:val="00BF4FF3"/>
    <w:rsid w:val="00C1257D"/>
    <w:rsid w:val="00C36540"/>
    <w:rsid w:val="00C4711C"/>
    <w:rsid w:val="00C60DB7"/>
    <w:rsid w:val="00C6362C"/>
    <w:rsid w:val="00C664E6"/>
    <w:rsid w:val="00CA3A50"/>
    <w:rsid w:val="00CB085B"/>
    <w:rsid w:val="00CB7AE8"/>
    <w:rsid w:val="00D0558A"/>
    <w:rsid w:val="00D665D0"/>
    <w:rsid w:val="00D72BC3"/>
    <w:rsid w:val="00D75016"/>
    <w:rsid w:val="00D77951"/>
    <w:rsid w:val="00D8216B"/>
    <w:rsid w:val="00DA496B"/>
    <w:rsid w:val="00E140BD"/>
    <w:rsid w:val="00E523D5"/>
    <w:rsid w:val="00E54561"/>
    <w:rsid w:val="00E90C3E"/>
    <w:rsid w:val="00EC4CD8"/>
    <w:rsid w:val="00ED21F3"/>
    <w:rsid w:val="00F33F16"/>
    <w:rsid w:val="00F51E60"/>
    <w:rsid w:val="00FD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52093"/>
  <w15:chartTrackingRefBased/>
  <w15:docId w15:val="{A49DE4B5-AAAE-4546-A01F-97D14903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4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4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4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4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96B"/>
    <w:rPr>
      <w:rFonts w:eastAsiaTheme="majorEastAsia" w:cstheme="majorBidi"/>
      <w:color w:val="272727" w:themeColor="text1" w:themeTint="D8"/>
    </w:rPr>
  </w:style>
  <w:style w:type="paragraph" w:styleId="Title">
    <w:name w:val="Title"/>
    <w:basedOn w:val="Normal"/>
    <w:next w:val="Normal"/>
    <w:link w:val="TitleChar"/>
    <w:uiPriority w:val="10"/>
    <w:qFormat/>
    <w:rsid w:val="00DA4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96B"/>
    <w:pPr>
      <w:spacing w:before="160"/>
      <w:jc w:val="center"/>
    </w:pPr>
    <w:rPr>
      <w:i/>
      <w:iCs/>
      <w:color w:val="404040" w:themeColor="text1" w:themeTint="BF"/>
    </w:rPr>
  </w:style>
  <w:style w:type="character" w:customStyle="1" w:styleId="QuoteChar">
    <w:name w:val="Quote Char"/>
    <w:basedOn w:val="DefaultParagraphFont"/>
    <w:link w:val="Quote"/>
    <w:uiPriority w:val="29"/>
    <w:rsid w:val="00DA496B"/>
    <w:rPr>
      <w:i/>
      <w:iCs/>
      <w:color w:val="404040" w:themeColor="text1" w:themeTint="BF"/>
    </w:rPr>
  </w:style>
  <w:style w:type="paragraph" w:styleId="ListParagraph">
    <w:name w:val="List Paragraph"/>
    <w:basedOn w:val="Normal"/>
    <w:uiPriority w:val="34"/>
    <w:qFormat/>
    <w:rsid w:val="00DA496B"/>
    <w:pPr>
      <w:ind w:left="720"/>
      <w:contextualSpacing/>
    </w:pPr>
  </w:style>
  <w:style w:type="character" w:styleId="IntenseEmphasis">
    <w:name w:val="Intense Emphasis"/>
    <w:basedOn w:val="DefaultParagraphFont"/>
    <w:uiPriority w:val="21"/>
    <w:qFormat/>
    <w:rsid w:val="00DA496B"/>
    <w:rPr>
      <w:i/>
      <w:iCs/>
      <w:color w:val="0F4761" w:themeColor="accent1" w:themeShade="BF"/>
    </w:rPr>
  </w:style>
  <w:style w:type="paragraph" w:styleId="IntenseQuote">
    <w:name w:val="Intense Quote"/>
    <w:basedOn w:val="Normal"/>
    <w:next w:val="Normal"/>
    <w:link w:val="IntenseQuoteChar"/>
    <w:uiPriority w:val="30"/>
    <w:qFormat/>
    <w:rsid w:val="00DA4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96B"/>
    <w:rPr>
      <w:i/>
      <w:iCs/>
      <w:color w:val="0F4761" w:themeColor="accent1" w:themeShade="BF"/>
    </w:rPr>
  </w:style>
  <w:style w:type="character" w:styleId="IntenseReference">
    <w:name w:val="Intense Reference"/>
    <w:basedOn w:val="DefaultParagraphFont"/>
    <w:uiPriority w:val="32"/>
    <w:qFormat/>
    <w:rsid w:val="00DA496B"/>
    <w:rPr>
      <w:b/>
      <w:bCs/>
      <w:smallCaps/>
      <w:color w:val="0F4761" w:themeColor="accent1" w:themeShade="BF"/>
      <w:spacing w:val="5"/>
    </w:rPr>
  </w:style>
  <w:style w:type="paragraph" w:styleId="NormalWeb">
    <w:name w:val="Normal (Web)"/>
    <w:basedOn w:val="Normal"/>
    <w:uiPriority w:val="99"/>
    <w:unhideWhenUsed/>
    <w:rsid w:val="00F51E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C4CD8"/>
    <w:rPr>
      <w:b/>
      <w:bCs/>
    </w:rPr>
  </w:style>
  <w:style w:type="character" w:styleId="Hyperlink">
    <w:name w:val="Hyperlink"/>
    <w:basedOn w:val="DefaultParagraphFont"/>
    <w:uiPriority w:val="99"/>
    <w:unhideWhenUsed/>
    <w:rsid w:val="00595C7E"/>
    <w:rPr>
      <w:color w:val="467886" w:themeColor="hyperlink"/>
      <w:u w:val="single"/>
    </w:rPr>
  </w:style>
  <w:style w:type="character" w:styleId="UnresolvedMention">
    <w:name w:val="Unresolved Mention"/>
    <w:basedOn w:val="DefaultParagraphFont"/>
    <w:uiPriority w:val="99"/>
    <w:semiHidden/>
    <w:unhideWhenUsed/>
    <w:rsid w:val="00595C7E"/>
    <w:rPr>
      <w:color w:val="605E5C"/>
      <w:shd w:val="clear" w:color="auto" w:fill="E1DFDD"/>
    </w:rPr>
  </w:style>
  <w:style w:type="paragraph" w:styleId="Header">
    <w:name w:val="header"/>
    <w:basedOn w:val="Normal"/>
    <w:link w:val="HeaderChar"/>
    <w:uiPriority w:val="99"/>
    <w:unhideWhenUsed/>
    <w:rsid w:val="00CB7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AE8"/>
  </w:style>
  <w:style w:type="paragraph" w:styleId="Footer">
    <w:name w:val="footer"/>
    <w:basedOn w:val="Normal"/>
    <w:link w:val="FooterChar"/>
    <w:uiPriority w:val="99"/>
    <w:unhideWhenUsed/>
    <w:rsid w:val="00CB7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AE8"/>
  </w:style>
  <w:style w:type="character" w:styleId="FollowedHyperlink">
    <w:name w:val="FollowedHyperlink"/>
    <w:basedOn w:val="DefaultParagraphFont"/>
    <w:uiPriority w:val="99"/>
    <w:semiHidden/>
    <w:unhideWhenUsed/>
    <w:rsid w:val="00440AB4"/>
    <w:rPr>
      <w:color w:val="96607D" w:themeColor="followedHyperlink"/>
      <w:u w:val="single"/>
    </w:rPr>
  </w:style>
  <w:style w:type="paragraph" w:styleId="Revision">
    <w:name w:val="Revision"/>
    <w:hidden/>
    <w:uiPriority w:val="99"/>
    <w:semiHidden/>
    <w:rsid w:val="00974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8163">
      <w:bodyDiv w:val="1"/>
      <w:marLeft w:val="0"/>
      <w:marRight w:val="0"/>
      <w:marTop w:val="0"/>
      <w:marBottom w:val="0"/>
      <w:divBdr>
        <w:top w:val="none" w:sz="0" w:space="0" w:color="auto"/>
        <w:left w:val="none" w:sz="0" w:space="0" w:color="auto"/>
        <w:bottom w:val="none" w:sz="0" w:space="0" w:color="auto"/>
        <w:right w:val="none" w:sz="0" w:space="0" w:color="auto"/>
      </w:divBdr>
    </w:div>
    <w:div w:id="201211696">
      <w:bodyDiv w:val="1"/>
      <w:marLeft w:val="0"/>
      <w:marRight w:val="0"/>
      <w:marTop w:val="0"/>
      <w:marBottom w:val="0"/>
      <w:divBdr>
        <w:top w:val="none" w:sz="0" w:space="0" w:color="auto"/>
        <w:left w:val="none" w:sz="0" w:space="0" w:color="auto"/>
        <w:bottom w:val="none" w:sz="0" w:space="0" w:color="auto"/>
        <w:right w:val="none" w:sz="0" w:space="0" w:color="auto"/>
      </w:divBdr>
    </w:div>
    <w:div w:id="342057316">
      <w:bodyDiv w:val="1"/>
      <w:marLeft w:val="0"/>
      <w:marRight w:val="0"/>
      <w:marTop w:val="0"/>
      <w:marBottom w:val="0"/>
      <w:divBdr>
        <w:top w:val="none" w:sz="0" w:space="0" w:color="auto"/>
        <w:left w:val="none" w:sz="0" w:space="0" w:color="auto"/>
        <w:bottom w:val="none" w:sz="0" w:space="0" w:color="auto"/>
        <w:right w:val="none" w:sz="0" w:space="0" w:color="auto"/>
      </w:divBdr>
      <w:divsChild>
        <w:div w:id="949242559">
          <w:marLeft w:val="0"/>
          <w:marRight w:val="0"/>
          <w:marTop w:val="0"/>
          <w:marBottom w:val="0"/>
          <w:divBdr>
            <w:top w:val="none" w:sz="0" w:space="0" w:color="auto"/>
            <w:left w:val="none" w:sz="0" w:space="0" w:color="auto"/>
            <w:bottom w:val="none" w:sz="0" w:space="0" w:color="auto"/>
            <w:right w:val="none" w:sz="0" w:space="0" w:color="auto"/>
          </w:divBdr>
          <w:divsChild>
            <w:div w:id="2558971">
              <w:marLeft w:val="0"/>
              <w:marRight w:val="0"/>
              <w:marTop w:val="0"/>
              <w:marBottom w:val="0"/>
              <w:divBdr>
                <w:top w:val="none" w:sz="0" w:space="0" w:color="auto"/>
                <w:left w:val="none" w:sz="0" w:space="0" w:color="auto"/>
                <w:bottom w:val="none" w:sz="0" w:space="0" w:color="auto"/>
                <w:right w:val="none" w:sz="0" w:space="0" w:color="auto"/>
              </w:divBdr>
              <w:divsChild>
                <w:div w:id="1829789079">
                  <w:marLeft w:val="0"/>
                  <w:marRight w:val="0"/>
                  <w:marTop w:val="0"/>
                  <w:marBottom w:val="0"/>
                  <w:divBdr>
                    <w:top w:val="none" w:sz="0" w:space="0" w:color="auto"/>
                    <w:left w:val="none" w:sz="0" w:space="0" w:color="auto"/>
                    <w:bottom w:val="none" w:sz="0" w:space="0" w:color="auto"/>
                    <w:right w:val="none" w:sz="0" w:space="0" w:color="auto"/>
                  </w:divBdr>
                  <w:divsChild>
                    <w:div w:id="54594910">
                      <w:marLeft w:val="0"/>
                      <w:marRight w:val="0"/>
                      <w:marTop w:val="0"/>
                      <w:marBottom w:val="0"/>
                      <w:divBdr>
                        <w:top w:val="none" w:sz="0" w:space="0" w:color="auto"/>
                        <w:left w:val="none" w:sz="0" w:space="0" w:color="auto"/>
                        <w:bottom w:val="none" w:sz="0" w:space="0" w:color="auto"/>
                        <w:right w:val="none" w:sz="0" w:space="0" w:color="auto"/>
                      </w:divBdr>
                      <w:divsChild>
                        <w:div w:id="1456486170">
                          <w:marLeft w:val="0"/>
                          <w:marRight w:val="0"/>
                          <w:marTop w:val="0"/>
                          <w:marBottom w:val="0"/>
                          <w:divBdr>
                            <w:top w:val="none" w:sz="0" w:space="0" w:color="auto"/>
                            <w:left w:val="none" w:sz="0" w:space="0" w:color="auto"/>
                            <w:bottom w:val="none" w:sz="0" w:space="0" w:color="auto"/>
                            <w:right w:val="none" w:sz="0" w:space="0" w:color="auto"/>
                          </w:divBdr>
                          <w:divsChild>
                            <w:div w:id="14601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417783">
      <w:bodyDiv w:val="1"/>
      <w:marLeft w:val="0"/>
      <w:marRight w:val="0"/>
      <w:marTop w:val="0"/>
      <w:marBottom w:val="0"/>
      <w:divBdr>
        <w:top w:val="none" w:sz="0" w:space="0" w:color="auto"/>
        <w:left w:val="none" w:sz="0" w:space="0" w:color="auto"/>
        <w:bottom w:val="none" w:sz="0" w:space="0" w:color="auto"/>
        <w:right w:val="none" w:sz="0" w:space="0" w:color="auto"/>
      </w:divBdr>
    </w:div>
    <w:div w:id="181340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wsr.state.mn.us/sites/default/files/2026-02/Buffer%20Procedures%20Draft%20Revisions%201-28-26%20%282%29.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Germundson, Travis (BWSR)</dc:creator>
  <cp:keywords/>
  <dc:description/>
  <cp:lastModifiedBy>Dahl, Ethan (He/Him/His) (BWSR)</cp:lastModifiedBy>
  <cp:revision>2</cp:revision>
  <cp:lastPrinted>2026-04-07T19:12:00Z</cp:lastPrinted>
  <dcterms:created xsi:type="dcterms:W3CDTF">2026-07-10T19:07:00Z</dcterms:created>
  <dcterms:modified xsi:type="dcterms:W3CDTF">2026-07-10T19:07:00Z</dcterms:modified>
</cp:coreProperties>
</file>