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C82F72" w14:textId="0D9A47F3" w:rsidR="007A2E81" w:rsidRPr="009632BF" w:rsidRDefault="009632BF" w:rsidP="007A2E81">
      <w:pPr>
        <w:rPr>
          <w:sz w:val="48"/>
          <w:szCs w:val="48"/>
        </w:rPr>
      </w:pPr>
      <w:r w:rsidRPr="009632BF">
        <w:rPr>
          <w:sz w:val="48"/>
          <w:szCs w:val="48"/>
        </w:rPr>
        <w:t>Native Construction General 32-24</w:t>
      </w:r>
      <w:r w:rsidR="004C403A">
        <w:rPr>
          <w:sz w:val="48"/>
          <w:szCs w:val="48"/>
        </w:rPr>
        <w:t>2</w:t>
      </w:r>
    </w:p>
    <w:p w14:paraId="353C792D" w14:textId="77777777" w:rsidR="009632BF" w:rsidRDefault="009632BF" w:rsidP="007A2E81"/>
    <w:p w14:paraId="62D11655" w14:textId="2AE1D887" w:rsidR="007A2E81" w:rsidRDefault="007A2E81" w:rsidP="007A2E81">
      <w:r>
        <w:t>Updated: 2023</w:t>
      </w:r>
    </w:p>
    <w:p w14:paraId="0A52A6A1" w14:textId="7CA7D0B2" w:rsidR="007A2E81" w:rsidRDefault="007A2E81" w:rsidP="007A2E81">
      <w:r>
        <w:rPr>
          <w:rStyle w:val="normaltextrun"/>
        </w:rPr>
        <w:t>This mix has been designed for a</w:t>
      </w:r>
      <w:r>
        <w:t xml:space="preserve">reas with mesic soils and full sun for at least 70% of the day where </w:t>
      </w:r>
      <w:r w:rsidR="00166430">
        <w:t xml:space="preserve">rapid establishment of native vegetation is needed as part of the construction of berms, </w:t>
      </w:r>
      <w:proofErr w:type="gramStart"/>
      <w:r w:rsidR="00166430">
        <w:t>embankments</w:t>
      </w:r>
      <w:proofErr w:type="gramEnd"/>
      <w:r w:rsidR="00166430">
        <w:t xml:space="preserve"> and other practices; while also providing w</w:t>
      </w:r>
      <w:r>
        <w:t>ildlife habitat</w:t>
      </w:r>
      <w:r w:rsidR="00166430">
        <w:t>, s</w:t>
      </w:r>
      <w:r>
        <w:t xml:space="preserve">oil stabilization, </w:t>
      </w:r>
      <w:r w:rsidR="00166430">
        <w:t xml:space="preserve">and </w:t>
      </w:r>
      <w:r>
        <w:t>water quality benefits.</w:t>
      </w:r>
    </w:p>
    <w:p w14:paraId="1FCF299C" w14:textId="77777777" w:rsidR="007A2E81" w:rsidRDefault="007A2E81" w:rsidP="007A2E81">
      <w:pPr>
        <w:pStyle w:val="paragraph"/>
        <w:spacing w:before="0" w:beforeAutospacing="0" w:after="0" w:afterAutospacing="0"/>
        <w:textAlignment w:val="baseline"/>
        <w:rPr>
          <w:rFonts w:ascii="Segoe UI" w:hAnsi="Segoe UI" w:cs="Segoe UI"/>
          <w:sz w:val="18"/>
          <w:szCs w:val="18"/>
        </w:rPr>
      </w:pPr>
      <w:r>
        <w:rPr>
          <w:noProof/>
        </w:rPr>
        <mc:AlternateContent>
          <mc:Choice Requires="wps">
            <w:drawing>
              <wp:anchor distT="45720" distB="45720" distL="114300" distR="114300" simplePos="0" relativeHeight="251661312" behindDoc="0" locked="0" layoutInCell="1" allowOverlap="1" wp14:anchorId="2ABED21C" wp14:editId="758F39FC">
                <wp:simplePos x="0" y="0"/>
                <wp:positionH relativeFrom="margin">
                  <wp:align>right</wp:align>
                </wp:positionH>
                <wp:positionV relativeFrom="paragraph">
                  <wp:posOffset>298450</wp:posOffset>
                </wp:positionV>
                <wp:extent cx="1310005" cy="556895"/>
                <wp:effectExtent l="0" t="0" r="444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556895"/>
                        </a:xfrm>
                        <a:prstGeom prst="rect">
                          <a:avLst/>
                        </a:prstGeom>
                        <a:solidFill>
                          <a:srgbClr val="FFFFFF"/>
                        </a:solidFill>
                        <a:ln w="9525">
                          <a:noFill/>
                          <a:miter lim="800000"/>
                          <a:headEnd/>
                          <a:tailEnd/>
                        </a:ln>
                      </wps:spPr>
                      <wps:txbx>
                        <w:txbxContent>
                          <w:p w14:paraId="2B23AFDA" w14:textId="77777777" w:rsidR="007A2E81" w:rsidRDefault="007A2E81" w:rsidP="007A2E81">
                            <w:r>
                              <w:rPr>
                                <w:noProof/>
                              </w:rPr>
                              <w:drawing>
                                <wp:inline distT="0" distB="0" distL="0" distR="0" wp14:anchorId="04816376" wp14:editId="72D16960">
                                  <wp:extent cx="1123950" cy="514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1123950" cy="5143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BED21C" id="_x0000_t202" coordsize="21600,21600" o:spt="202" path="m,l,21600r21600,l21600,xe">
                <v:stroke joinstyle="miter"/>
                <v:path gradientshapeok="t" o:connecttype="rect"/>
              </v:shapetype>
              <v:shape id="Text Box 2" o:spid="_x0000_s1026" type="#_x0000_t202" style="position:absolute;margin-left:51.95pt;margin-top:23.5pt;width:103.15pt;height:43.8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" stroked="f">
                <v:textbox>
                  <w:txbxContent>
                    <w:p w14:paraId="2B23AFDA" w14:textId="77777777" w:rsidR="007A2E81" w:rsidRDefault="007A2E81" w:rsidP="007A2E81">
                      <w:r>
                        <w:rPr>
                          <w:noProof/>
                        </w:rPr>
                        <w:drawing>
                          <wp:inline distT="0" distB="0" distL="0" distR="0" wp14:anchorId="04816376" wp14:editId="72D16960">
                            <wp:extent cx="1123950" cy="514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1123950" cy="514350"/>
                                    </a:xfrm>
                                    <a:prstGeom prst="rect">
                                      <a:avLst/>
                                    </a:prstGeom>
                                  </pic:spPr>
                                </pic:pic>
                              </a:graphicData>
                            </a:graphic>
                          </wp:inline>
                        </w:drawing>
                      </w:r>
                    </w:p>
                  </w:txbxContent>
                </v:textbox>
                <w10:wrap type="square" anchorx="margin"/>
              </v:shape>
            </w:pict>
          </mc:Fallback>
        </mc:AlternateContent>
      </w:r>
    </w:p>
    <w:p w14:paraId="697C0535" w14:textId="77777777" w:rsidR="007A2E81" w:rsidRDefault="007A2E81" w:rsidP="007A2E81">
      <w:pPr>
        <w:rPr>
          <w:noProof/>
        </w:rPr>
      </w:pPr>
      <w:r>
        <w:rPr>
          <w:noProof/>
        </w:rPr>
        <w:t xml:space="preserve">    </w:t>
      </w:r>
    </w:p>
    <w:p w14:paraId="4CF3DDF0" w14:textId="77777777" w:rsidR="00D12599" w:rsidRDefault="007A2E81" w:rsidP="007A2E81">
      <w:pPr>
        <w:ind w:right="-540"/>
      </w:pPr>
      <w:r>
        <w:rPr>
          <w:noProof/>
        </w:rPr>
        <mc:AlternateContent>
          <mc:Choice Requires="wps">
            <w:drawing>
              <wp:anchor distT="45720" distB="45720" distL="114300" distR="114300" simplePos="0" relativeHeight="251663360" behindDoc="0" locked="0" layoutInCell="1" allowOverlap="1" wp14:anchorId="12B07322" wp14:editId="163D9920">
                <wp:simplePos x="0" y="0"/>
                <wp:positionH relativeFrom="column">
                  <wp:posOffset>2169160</wp:posOffset>
                </wp:positionH>
                <wp:positionV relativeFrom="paragraph">
                  <wp:posOffset>17780</wp:posOffset>
                </wp:positionV>
                <wp:extent cx="2360930" cy="444500"/>
                <wp:effectExtent l="0" t="0" r="381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4500"/>
                        </a:xfrm>
                        <a:prstGeom prst="rect">
                          <a:avLst/>
                        </a:prstGeom>
                        <a:solidFill>
                          <a:srgbClr val="FFFFFF"/>
                        </a:solidFill>
                        <a:ln w="9525">
                          <a:noFill/>
                          <a:miter lim="800000"/>
                          <a:headEnd/>
                          <a:tailEnd/>
                        </a:ln>
                      </wps:spPr>
                      <wps:txbx>
                        <w:txbxContent>
                          <w:p w14:paraId="66C47AF6" w14:textId="77777777" w:rsidR="007A2E81" w:rsidRDefault="007A2E81" w:rsidP="007A2E81">
                            <w:r>
                              <w:rPr>
                                <w:noProof/>
                              </w:rPr>
                              <w:drawing>
                                <wp:inline distT="0" distB="0" distL="0" distR="0" wp14:anchorId="2763C5B6" wp14:editId="39A4B082">
                                  <wp:extent cx="2162810" cy="380580"/>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2162810" cy="3805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2B07322" id="_x0000_s1027" type="#_x0000_t202" style="position:absolute;margin-left:170.8pt;margin-top:1.4pt;width:185.9pt;height:35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" stroked="f">
                <v:textbox>
                  <w:txbxContent>
                    <w:p w14:paraId="66C47AF6" w14:textId="77777777" w:rsidR="007A2E81" w:rsidRDefault="007A2E81" w:rsidP="007A2E81">
                      <w:r>
                        <w:rPr>
                          <w:noProof/>
                        </w:rPr>
                        <w:drawing>
                          <wp:inline distT="0" distB="0" distL="0" distR="0" wp14:anchorId="2763C5B6" wp14:editId="39A4B082">
                            <wp:extent cx="2162810" cy="380580"/>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2162810" cy="380580"/>
                                    </a:xfrm>
                                    <a:prstGeom prst="rect">
                                      <a:avLst/>
                                    </a:prstGeom>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62336" behindDoc="0" locked="0" layoutInCell="1" allowOverlap="1" wp14:anchorId="542815D3" wp14:editId="20DA1825">
                <wp:simplePos x="0" y="0"/>
                <wp:positionH relativeFrom="margin">
                  <wp:align>left</wp:align>
                </wp:positionH>
                <wp:positionV relativeFrom="paragraph">
                  <wp:posOffset>9525</wp:posOffset>
                </wp:positionV>
                <wp:extent cx="2219960" cy="381000"/>
                <wp:effectExtent l="0" t="0" r="889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960" cy="381000"/>
                        </a:xfrm>
                        <a:prstGeom prst="rect">
                          <a:avLst/>
                        </a:prstGeom>
                        <a:solidFill>
                          <a:srgbClr val="FFFFFF"/>
                        </a:solidFill>
                        <a:ln w="9525">
                          <a:noFill/>
                          <a:miter lim="800000"/>
                          <a:headEnd/>
                          <a:tailEnd/>
                        </a:ln>
                      </wps:spPr>
                      <wps:txbx>
                        <w:txbxContent>
                          <w:p w14:paraId="7E143973" w14:textId="77777777" w:rsidR="007A2E81" w:rsidRDefault="007A2E81" w:rsidP="007A2E81">
                            <w:r>
                              <w:rPr>
                                <w:noProof/>
                              </w:rPr>
                              <w:drawing>
                                <wp:inline distT="0" distB="0" distL="0" distR="0" wp14:anchorId="62C9373E" wp14:editId="5C592D5F">
                                  <wp:extent cx="1933575" cy="352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1933575" cy="3524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815D3" id="_x0000_s1028" type="#_x0000_t202" style="position:absolute;margin-left:0;margin-top:.75pt;width:174.8pt;height:30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" stroked="f">
                <v:textbox>
                  <w:txbxContent>
                    <w:p w14:paraId="7E143973" w14:textId="77777777" w:rsidR="007A2E81" w:rsidRDefault="007A2E81" w:rsidP="007A2E81">
                      <w:r>
                        <w:rPr>
                          <w:noProof/>
                        </w:rPr>
                        <w:drawing>
                          <wp:inline distT="0" distB="0" distL="0" distR="0" wp14:anchorId="62C9373E" wp14:editId="5C592D5F">
                            <wp:extent cx="1933575" cy="352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1933575" cy="352425"/>
                                    </a:xfrm>
                                    <a:prstGeom prst="rect">
                                      <a:avLst/>
                                    </a:prstGeom>
                                  </pic:spPr>
                                </pic:pic>
                              </a:graphicData>
                            </a:graphic>
                          </wp:inline>
                        </w:drawing>
                      </w:r>
                    </w:p>
                  </w:txbxContent>
                </v:textbox>
                <w10:wrap type="square" anchorx="margin"/>
              </v:shape>
            </w:pict>
          </mc:Fallback>
        </mc:AlternateContent>
      </w:r>
      <w:r>
        <w:t xml:space="preserve">Partners also include collaboration among Non-profits, Seed vendors, SWCD, Tribal Governments, Consultants, </w:t>
      </w:r>
    </w:p>
    <w:p w14:paraId="55E0C3A7" w14:textId="77F3543F" w:rsidR="007A2E81" w:rsidRDefault="007A2E81" w:rsidP="007A2E81">
      <w:pPr>
        <w:ind w:right="-540"/>
      </w:pPr>
      <w:r>
        <w:t>County and Cities. (</w:t>
      </w:r>
      <w:r w:rsidR="00606E28">
        <w:t>See</w:t>
      </w:r>
      <w:r>
        <w:t xml:space="preserve"> </w:t>
      </w:r>
      <w:r w:rsidR="00606E28">
        <w:t>partner</w:t>
      </w:r>
      <w:r>
        <w:t xml:space="preserve"> list on </w:t>
      </w:r>
      <w:hyperlink r:id="rId10" w:history="1">
        <w:r>
          <w:rPr>
            <w:rStyle w:val="Hyperlink"/>
          </w:rPr>
          <w:t>website</w:t>
        </w:r>
      </w:hyperlink>
      <w:r>
        <w:t>)</w:t>
      </w:r>
    </w:p>
    <w:p w14:paraId="1C392035" w14:textId="77777777" w:rsidR="003722C1" w:rsidRDefault="003722C1" w:rsidP="007A2E81">
      <w:pPr>
        <w:ind w:right="-540"/>
      </w:pPr>
    </w:p>
    <w:tbl>
      <w:tblPr>
        <w:tblW w:w="9749" w:type="dxa"/>
        <w:tblInd w:w="-90" w:type="dxa"/>
        <w:tblLook w:val="04A0" w:firstRow="1" w:lastRow="0" w:firstColumn="1" w:lastColumn="0" w:noHBand="0" w:noVBand="1"/>
      </w:tblPr>
      <w:tblGrid>
        <w:gridCol w:w="951"/>
        <w:gridCol w:w="1960"/>
        <w:gridCol w:w="2800"/>
        <w:gridCol w:w="820"/>
        <w:gridCol w:w="1006"/>
        <w:gridCol w:w="1106"/>
        <w:gridCol w:w="1106"/>
      </w:tblGrid>
      <w:tr w:rsidR="003722C1" w:rsidRPr="003722C1" w14:paraId="74CA65DE" w14:textId="77777777" w:rsidTr="00606E28">
        <w:trPr>
          <w:trHeight w:val="255"/>
        </w:trPr>
        <w:tc>
          <w:tcPr>
            <w:tcW w:w="951" w:type="dxa"/>
            <w:tcBorders>
              <w:top w:val="nil"/>
              <w:left w:val="nil"/>
              <w:bottom w:val="nil"/>
              <w:right w:val="nil"/>
            </w:tcBorders>
            <w:shd w:val="clear" w:color="auto" w:fill="auto"/>
            <w:noWrap/>
            <w:vAlign w:val="bottom"/>
            <w:hideMark/>
          </w:tcPr>
          <w:p w14:paraId="2527CE02" w14:textId="77777777" w:rsidR="003722C1" w:rsidRPr="003722C1" w:rsidRDefault="003722C1" w:rsidP="003722C1">
            <w:pPr>
              <w:rPr>
                <w:rFonts w:ascii="Times New Roman" w:eastAsia="Times New Roman" w:hAnsi="Times New Roman" w:cs="Times New Roman"/>
                <w:sz w:val="24"/>
                <w:szCs w:val="24"/>
              </w:rPr>
            </w:pPr>
          </w:p>
        </w:tc>
        <w:tc>
          <w:tcPr>
            <w:tcW w:w="1960" w:type="dxa"/>
            <w:tcBorders>
              <w:top w:val="nil"/>
              <w:left w:val="nil"/>
              <w:bottom w:val="nil"/>
              <w:right w:val="nil"/>
            </w:tcBorders>
            <w:shd w:val="clear" w:color="auto" w:fill="auto"/>
            <w:noWrap/>
            <w:vAlign w:val="bottom"/>
            <w:hideMark/>
          </w:tcPr>
          <w:p w14:paraId="0316F201" w14:textId="77777777" w:rsidR="003722C1" w:rsidRPr="003722C1" w:rsidRDefault="003722C1" w:rsidP="003722C1">
            <w:pPr>
              <w:rPr>
                <w:rFonts w:ascii="Arial" w:eastAsia="Times New Roman" w:hAnsi="Arial" w:cs="Arial"/>
                <w:b/>
                <w:bCs/>
                <w:color w:val="000000"/>
                <w:sz w:val="20"/>
                <w:szCs w:val="20"/>
              </w:rPr>
            </w:pPr>
            <w:bookmarkStart w:id="0" w:name="RANGE!B1:G23"/>
            <w:r w:rsidRPr="003722C1">
              <w:rPr>
                <w:rFonts w:ascii="Arial" w:eastAsia="Times New Roman" w:hAnsi="Arial" w:cs="Arial"/>
                <w:b/>
                <w:bCs/>
                <w:color w:val="000000"/>
                <w:sz w:val="20"/>
                <w:szCs w:val="20"/>
              </w:rPr>
              <w:t>32-242</w:t>
            </w:r>
            <w:bookmarkEnd w:id="0"/>
          </w:p>
        </w:tc>
        <w:tc>
          <w:tcPr>
            <w:tcW w:w="3620" w:type="dxa"/>
            <w:gridSpan w:val="2"/>
            <w:tcBorders>
              <w:top w:val="nil"/>
              <w:left w:val="nil"/>
              <w:bottom w:val="nil"/>
              <w:right w:val="nil"/>
            </w:tcBorders>
            <w:shd w:val="clear" w:color="auto" w:fill="auto"/>
            <w:noWrap/>
            <w:vAlign w:val="bottom"/>
            <w:hideMark/>
          </w:tcPr>
          <w:p w14:paraId="224ECA96" w14:textId="77777777" w:rsidR="003722C1" w:rsidRPr="003722C1" w:rsidRDefault="003722C1" w:rsidP="003722C1">
            <w:pPr>
              <w:rPr>
                <w:rFonts w:ascii="Arial" w:eastAsia="Times New Roman" w:hAnsi="Arial" w:cs="Arial"/>
                <w:b/>
                <w:bCs/>
                <w:color w:val="000000"/>
                <w:sz w:val="20"/>
                <w:szCs w:val="20"/>
              </w:rPr>
            </w:pPr>
            <w:r w:rsidRPr="003722C1">
              <w:rPr>
                <w:rFonts w:ascii="Arial" w:eastAsia="Times New Roman" w:hAnsi="Arial" w:cs="Arial"/>
                <w:b/>
                <w:bCs/>
                <w:color w:val="000000"/>
                <w:sz w:val="20"/>
                <w:szCs w:val="20"/>
              </w:rPr>
              <w:t>Native Construction General Mix</w:t>
            </w:r>
          </w:p>
        </w:tc>
        <w:tc>
          <w:tcPr>
            <w:tcW w:w="1006" w:type="dxa"/>
            <w:tcBorders>
              <w:top w:val="nil"/>
              <w:left w:val="nil"/>
              <w:bottom w:val="nil"/>
              <w:right w:val="nil"/>
            </w:tcBorders>
            <w:shd w:val="clear" w:color="auto" w:fill="auto"/>
            <w:noWrap/>
            <w:vAlign w:val="bottom"/>
            <w:hideMark/>
          </w:tcPr>
          <w:p w14:paraId="43BE9524" w14:textId="77777777" w:rsidR="003722C1" w:rsidRPr="003722C1" w:rsidRDefault="003722C1" w:rsidP="003722C1">
            <w:pPr>
              <w:rPr>
                <w:rFonts w:ascii="Arial" w:eastAsia="Times New Roman" w:hAnsi="Arial" w:cs="Arial"/>
                <w:b/>
                <w:bCs/>
                <w:color w:val="000000"/>
                <w:sz w:val="20"/>
                <w:szCs w:val="20"/>
              </w:rPr>
            </w:pPr>
          </w:p>
        </w:tc>
        <w:tc>
          <w:tcPr>
            <w:tcW w:w="1106" w:type="dxa"/>
            <w:tcBorders>
              <w:top w:val="nil"/>
              <w:left w:val="nil"/>
              <w:bottom w:val="nil"/>
              <w:right w:val="nil"/>
            </w:tcBorders>
            <w:shd w:val="clear" w:color="auto" w:fill="auto"/>
            <w:noWrap/>
            <w:vAlign w:val="bottom"/>
            <w:hideMark/>
          </w:tcPr>
          <w:p w14:paraId="016C5CD9" w14:textId="77777777" w:rsidR="003722C1" w:rsidRPr="003722C1" w:rsidRDefault="003722C1" w:rsidP="003722C1">
            <w:pPr>
              <w:jc w:val="center"/>
              <w:rPr>
                <w:rFonts w:ascii="Times New Roman" w:eastAsia="Times New Roman" w:hAnsi="Times New Roman" w:cs="Times New Roman"/>
                <w:sz w:val="20"/>
                <w:szCs w:val="20"/>
              </w:rPr>
            </w:pPr>
          </w:p>
        </w:tc>
        <w:tc>
          <w:tcPr>
            <w:tcW w:w="1106" w:type="dxa"/>
            <w:tcBorders>
              <w:top w:val="nil"/>
              <w:left w:val="nil"/>
              <w:bottom w:val="nil"/>
              <w:right w:val="nil"/>
            </w:tcBorders>
            <w:shd w:val="clear" w:color="auto" w:fill="auto"/>
            <w:noWrap/>
            <w:vAlign w:val="bottom"/>
            <w:hideMark/>
          </w:tcPr>
          <w:p w14:paraId="3532B159" w14:textId="77777777" w:rsidR="003722C1" w:rsidRPr="003722C1" w:rsidRDefault="003722C1" w:rsidP="003722C1">
            <w:pPr>
              <w:jc w:val="center"/>
              <w:rPr>
                <w:rFonts w:ascii="Times New Roman" w:eastAsia="Times New Roman" w:hAnsi="Times New Roman" w:cs="Times New Roman"/>
                <w:sz w:val="20"/>
                <w:szCs w:val="20"/>
              </w:rPr>
            </w:pPr>
          </w:p>
        </w:tc>
      </w:tr>
      <w:tr w:rsidR="003722C1" w:rsidRPr="003722C1" w14:paraId="74F6C1E6" w14:textId="77777777" w:rsidTr="00606E28">
        <w:trPr>
          <w:trHeight w:val="510"/>
        </w:trPr>
        <w:tc>
          <w:tcPr>
            <w:tcW w:w="951"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13B2E662" w14:textId="77777777" w:rsidR="003722C1" w:rsidRPr="003722C1" w:rsidRDefault="003722C1" w:rsidP="003722C1">
            <w:pPr>
              <w:rPr>
                <w:rFonts w:ascii="Arial" w:eastAsia="Times New Roman" w:hAnsi="Arial" w:cs="Arial"/>
                <w:b/>
                <w:bCs/>
                <w:color w:val="000000"/>
                <w:sz w:val="20"/>
                <w:szCs w:val="20"/>
              </w:rPr>
            </w:pPr>
            <w:r w:rsidRPr="003722C1">
              <w:rPr>
                <w:rFonts w:ascii="Arial" w:eastAsia="Times New Roman" w:hAnsi="Arial" w:cs="Arial"/>
                <w:b/>
                <w:bCs/>
                <w:color w:val="000000"/>
                <w:sz w:val="20"/>
                <w:szCs w:val="20"/>
              </w:rPr>
              <w:t>Code</w:t>
            </w:r>
          </w:p>
        </w:tc>
        <w:tc>
          <w:tcPr>
            <w:tcW w:w="1960" w:type="dxa"/>
            <w:tcBorders>
              <w:top w:val="single" w:sz="4" w:space="0" w:color="auto"/>
              <w:left w:val="nil"/>
              <w:bottom w:val="single" w:sz="4" w:space="0" w:color="auto"/>
              <w:right w:val="single" w:sz="4" w:space="0" w:color="auto"/>
            </w:tcBorders>
            <w:shd w:val="clear" w:color="000000" w:fill="9BC2E6"/>
            <w:vAlign w:val="bottom"/>
            <w:hideMark/>
          </w:tcPr>
          <w:p w14:paraId="513CE8AF" w14:textId="77777777" w:rsidR="003722C1" w:rsidRPr="003722C1" w:rsidRDefault="003722C1" w:rsidP="003722C1">
            <w:pPr>
              <w:jc w:val="center"/>
              <w:rPr>
                <w:rFonts w:ascii="Arial" w:eastAsia="Times New Roman" w:hAnsi="Arial" w:cs="Arial"/>
                <w:b/>
                <w:bCs/>
                <w:sz w:val="20"/>
                <w:szCs w:val="20"/>
              </w:rPr>
            </w:pPr>
            <w:r w:rsidRPr="003722C1">
              <w:rPr>
                <w:rFonts w:ascii="Arial" w:eastAsia="Times New Roman" w:hAnsi="Arial" w:cs="Arial"/>
                <w:b/>
                <w:bCs/>
                <w:sz w:val="20"/>
                <w:szCs w:val="20"/>
              </w:rPr>
              <w:t>Common Name</w:t>
            </w:r>
          </w:p>
        </w:tc>
        <w:tc>
          <w:tcPr>
            <w:tcW w:w="2800" w:type="dxa"/>
            <w:tcBorders>
              <w:top w:val="single" w:sz="4" w:space="0" w:color="auto"/>
              <w:left w:val="nil"/>
              <w:bottom w:val="single" w:sz="4" w:space="0" w:color="auto"/>
              <w:right w:val="single" w:sz="4" w:space="0" w:color="auto"/>
            </w:tcBorders>
            <w:shd w:val="clear" w:color="000000" w:fill="9BC2E6"/>
            <w:vAlign w:val="bottom"/>
            <w:hideMark/>
          </w:tcPr>
          <w:p w14:paraId="28B76C6C" w14:textId="77777777" w:rsidR="003722C1" w:rsidRPr="003722C1" w:rsidRDefault="003722C1" w:rsidP="003722C1">
            <w:pPr>
              <w:jc w:val="center"/>
              <w:rPr>
                <w:rFonts w:ascii="Arial" w:eastAsia="Times New Roman" w:hAnsi="Arial" w:cs="Arial"/>
                <w:b/>
                <w:bCs/>
                <w:sz w:val="20"/>
                <w:szCs w:val="20"/>
              </w:rPr>
            </w:pPr>
            <w:r w:rsidRPr="003722C1">
              <w:rPr>
                <w:rFonts w:ascii="Arial" w:eastAsia="Times New Roman" w:hAnsi="Arial" w:cs="Arial"/>
                <w:b/>
                <w:bCs/>
                <w:sz w:val="20"/>
                <w:szCs w:val="20"/>
              </w:rPr>
              <w:t>Scientific Name</w:t>
            </w:r>
          </w:p>
        </w:tc>
        <w:tc>
          <w:tcPr>
            <w:tcW w:w="820" w:type="dxa"/>
            <w:tcBorders>
              <w:top w:val="single" w:sz="4" w:space="0" w:color="auto"/>
              <w:left w:val="nil"/>
              <w:bottom w:val="single" w:sz="4" w:space="0" w:color="auto"/>
              <w:right w:val="single" w:sz="4" w:space="0" w:color="auto"/>
            </w:tcBorders>
            <w:shd w:val="clear" w:color="000000" w:fill="9BC2E6"/>
            <w:vAlign w:val="bottom"/>
            <w:hideMark/>
          </w:tcPr>
          <w:p w14:paraId="1FC745D3" w14:textId="77777777" w:rsidR="003722C1" w:rsidRPr="003722C1" w:rsidRDefault="003722C1" w:rsidP="003722C1">
            <w:pPr>
              <w:jc w:val="center"/>
              <w:rPr>
                <w:rFonts w:ascii="Arial" w:eastAsia="Times New Roman" w:hAnsi="Arial" w:cs="Arial"/>
                <w:b/>
                <w:bCs/>
                <w:sz w:val="20"/>
                <w:szCs w:val="20"/>
              </w:rPr>
            </w:pPr>
            <w:r w:rsidRPr="003722C1">
              <w:rPr>
                <w:rFonts w:ascii="Arial" w:eastAsia="Times New Roman" w:hAnsi="Arial" w:cs="Arial"/>
                <w:b/>
                <w:bCs/>
                <w:sz w:val="20"/>
                <w:szCs w:val="20"/>
              </w:rPr>
              <w:t xml:space="preserve">PLS </w:t>
            </w:r>
            <w:proofErr w:type="spellStart"/>
            <w:r w:rsidRPr="003722C1">
              <w:rPr>
                <w:rFonts w:ascii="Arial" w:eastAsia="Times New Roman" w:hAnsi="Arial" w:cs="Arial"/>
                <w:b/>
                <w:bCs/>
                <w:sz w:val="20"/>
                <w:szCs w:val="20"/>
              </w:rPr>
              <w:t>lb</w:t>
            </w:r>
            <w:proofErr w:type="spellEnd"/>
            <w:r w:rsidRPr="003722C1">
              <w:rPr>
                <w:rFonts w:ascii="Arial" w:eastAsia="Times New Roman" w:hAnsi="Arial" w:cs="Arial"/>
                <w:b/>
                <w:bCs/>
                <w:sz w:val="20"/>
                <w:szCs w:val="20"/>
              </w:rPr>
              <w:t>/ac</w:t>
            </w:r>
          </w:p>
        </w:tc>
        <w:tc>
          <w:tcPr>
            <w:tcW w:w="1006" w:type="dxa"/>
            <w:tcBorders>
              <w:top w:val="single" w:sz="4" w:space="0" w:color="auto"/>
              <w:left w:val="nil"/>
              <w:bottom w:val="single" w:sz="4" w:space="0" w:color="auto"/>
              <w:right w:val="single" w:sz="4" w:space="0" w:color="auto"/>
            </w:tcBorders>
            <w:shd w:val="clear" w:color="000000" w:fill="9BC2E6"/>
            <w:vAlign w:val="bottom"/>
            <w:hideMark/>
          </w:tcPr>
          <w:p w14:paraId="3ACE7A48" w14:textId="77777777" w:rsidR="003722C1" w:rsidRPr="003722C1" w:rsidRDefault="003722C1" w:rsidP="003722C1">
            <w:pPr>
              <w:jc w:val="center"/>
              <w:rPr>
                <w:rFonts w:ascii="Arial" w:eastAsia="Times New Roman" w:hAnsi="Arial" w:cs="Arial"/>
                <w:b/>
                <w:bCs/>
                <w:color w:val="000000"/>
                <w:sz w:val="20"/>
                <w:szCs w:val="20"/>
              </w:rPr>
            </w:pPr>
            <w:r w:rsidRPr="003722C1">
              <w:rPr>
                <w:rFonts w:ascii="Arial" w:eastAsia="Times New Roman" w:hAnsi="Arial" w:cs="Arial"/>
                <w:b/>
                <w:bCs/>
                <w:color w:val="000000"/>
                <w:sz w:val="20"/>
                <w:szCs w:val="20"/>
              </w:rPr>
              <w:t xml:space="preserve">% by PLS </w:t>
            </w:r>
            <w:proofErr w:type="spellStart"/>
            <w:r w:rsidRPr="003722C1">
              <w:rPr>
                <w:rFonts w:ascii="Arial" w:eastAsia="Times New Roman" w:hAnsi="Arial" w:cs="Arial"/>
                <w:b/>
                <w:bCs/>
                <w:color w:val="000000"/>
                <w:sz w:val="20"/>
                <w:szCs w:val="20"/>
              </w:rPr>
              <w:t>lb</w:t>
            </w:r>
            <w:proofErr w:type="spellEnd"/>
            <w:r w:rsidRPr="003722C1">
              <w:rPr>
                <w:rFonts w:ascii="Arial" w:eastAsia="Times New Roman" w:hAnsi="Arial" w:cs="Arial"/>
                <w:b/>
                <w:bCs/>
                <w:color w:val="000000"/>
                <w:sz w:val="20"/>
                <w:szCs w:val="20"/>
              </w:rPr>
              <w:t>/ac</w:t>
            </w:r>
          </w:p>
        </w:tc>
        <w:tc>
          <w:tcPr>
            <w:tcW w:w="1106" w:type="dxa"/>
            <w:tcBorders>
              <w:top w:val="single" w:sz="4" w:space="0" w:color="auto"/>
              <w:left w:val="nil"/>
              <w:bottom w:val="single" w:sz="4" w:space="0" w:color="auto"/>
              <w:right w:val="single" w:sz="4" w:space="0" w:color="auto"/>
            </w:tcBorders>
            <w:shd w:val="clear" w:color="000000" w:fill="9BC2E6"/>
            <w:vAlign w:val="bottom"/>
            <w:hideMark/>
          </w:tcPr>
          <w:p w14:paraId="1E35F2B3" w14:textId="77777777" w:rsidR="003722C1" w:rsidRPr="003722C1" w:rsidRDefault="003722C1" w:rsidP="003722C1">
            <w:pPr>
              <w:jc w:val="center"/>
              <w:rPr>
                <w:rFonts w:ascii="Arial" w:eastAsia="Times New Roman" w:hAnsi="Arial" w:cs="Arial"/>
                <w:b/>
                <w:bCs/>
                <w:sz w:val="20"/>
                <w:szCs w:val="20"/>
              </w:rPr>
            </w:pPr>
            <w:r w:rsidRPr="003722C1">
              <w:rPr>
                <w:rFonts w:ascii="Arial" w:eastAsia="Times New Roman" w:hAnsi="Arial" w:cs="Arial"/>
                <w:b/>
                <w:bCs/>
                <w:sz w:val="20"/>
                <w:szCs w:val="20"/>
              </w:rPr>
              <w:t>Seeds/ft2</w:t>
            </w:r>
          </w:p>
        </w:tc>
        <w:tc>
          <w:tcPr>
            <w:tcW w:w="1106" w:type="dxa"/>
            <w:tcBorders>
              <w:top w:val="single" w:sz="4" w:space="0" w:color="auto"/>
              <w:left w:val="nil"/>
              <w:bottom w:val="single" w:sz="4" w:space="0" w:color="auto"/>
              <w:right w:val="single" w:sz="4" w:space="0" w:color="auto"/>
            </w:tcBorders>
            <w:shd w:val="clear" w:color="000000" w:fill="9BC2E6"/>
            <w:vAlign w:val="bottom"/>
            <w:hideMark/>
          </w:tcPr>
          <w:p w14:paraId="16AC8F00" w14:textId="77777777" w:rsidR="003722C1" w:rsidRPr="003722C1" w:rsidRDefault="003722C1" w:rsidP="003722C1">
            <w:pPr>
              <w:jc w:val="center"/>
              <w:rPr>
                <w:rFonts w:ascii="Arial" w:eastAsia="Times New Roman" w:hAnsi="Arial" w:cs="Arial"/>
                <w:b/>
                <w:bCs/>
                <w:sz w:val="20"/>
                <w:szCs w:val="20"/>
              </w:rPr>
            </w:pPr>
            <w:r w:rsidRPr="003722C1">
              <w:rPr>
                <w:rFonts w:ascii="Arial" w:eastAsia="Times New Roman" w:hAnsi="Arial" w:cs="Arial"/>
                <w:b/>
                <w:bCs/>
                <w:sz w:val="20"/>
                <w:szCs w:val="20"/>
              </w:rPr>
              <w:t>% by Seeds/ft2</w:t>
            </w:r>
          </w:p>
        </w:tc>
      </w:tr>
      <w:tr w:rsidR="003722C1" w:rsidRPr="003722C1" w14:paraId="1827415D" w14:textId="77777777" w:rsidTr="00606E28">
        <w:trPr>
          <w:trHeight w:val="255"/>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14:paraId="397978A9" w14:textId="77777777" w:rsidR="003722C1" w:rsidRPr="003722C1" w:rsidRDefault="003722C1" w:rsidP="003722C1">
            <w:pPr>
              <w:rPr>
                <w:rFonts w:ascii="Arial" w:eastAsia="Times New Roman" w:hAnsi="Arial" w:cs="Arial"/>
                <w:color w:val="000000"/>
                <w:sz w:val="20"/>
                <w:szCs w:val="20"/>
              </w:rPr>
            </w:pPr>
            <w:proofErr w:type="spellStart"/>
            <w:r w:rsidRPr="003722C1">
              <w:rPr>
                <w:rFonts w:ascii="Arial" w:eastAsia="Times New Roman" w:hAnsi="Arial" w:cs="Arial"/>
                <w:color w:val="000000"/>
                <w:sz w:val="20"/>
                <w:szCs w:val="20"/>
              </w:rPr>
              <w:t>andger</w:t>
            </w:r>
            <w:proofErr w:type="spellEnd"/>
          </w:p>
        </w:tc>
        <w:tc>
          <w:tcPr>
            <w:tcW w:w="1960" w:type="dxa"/>
            <w:tcBorders>
              <w:top w:val="nil"/>
              <w:left w:val="nil"/>
              <w:bottom w:val="single" w:sz="4" w:space="0" w:color="auto"/>
              <w:right w:val="single" w:sz="4" w:space="0" w:color="auto"/>
            </w:tcBorders>
            <w:shd w:val="clear" w:color="auto" w:fill="auto"/>
            <w:noWrap/>
            <w:vAlign w:val="bottom"/>
            <w:hideMark/>
          </w:tcPr>
          <w:p w14:paraId="0416B8A6" w14:textId="77777777" w:rsidR="003722C1" w:rsidRPr="003722C1" w:rsidRDefault="003722C1" w:rsidP="003722C1">
            <w:pPr>
              <w:rPr>
                <w:rFonts w:ascii="Arial" w:eastAsia="Times New Roman" w:hAnsi="Arial" w:cs="Arial"/>
                <w:color w:val="000000"/>
                <w:sz w:val="20"/>
                <w:szCs w:val="20"/>
              </w:rPr>
            </w:pPr>
            <w:r w:rsidRPr="003722C1">
              <w:rPr>
                <w:rFonts w:ascii="Arial" w:eastAsia="Times New Roman" w:hAnsi="Arial" w:cs="Arial"/>
                <w:color w:val="000000"/>
                <w:sz w:val="20"/>
                <w:szCs w:val="20"/>
              </w:rPr>
              <w:t>Big Bluestem</w:t>
            </w:r>
          </w:p>
        </w:tc>
        <w:tc>
          <w:tcPr>
            <w:tcW w:w="2800" w:type="dxa"/>
            <w:tcBorders>
              <w:top w:val="nil"/>
              <w:left w:val="nil"/>
              <w:bottom w:val="single" w:sz="4" w:space="0" w:color="auto"/>
              <w:right w:val="single" w:sz="4" w:space="0" w:color="auto"/>
            </w:tcBorders>
            <w:shd w:val="clear" w:color="000000" w:fill="A9D08E"/>
            <w:noWrap/>
            <w:vAlign w:val="bottom"/>
            <w:hideMark/>
          </w:tcPr>
          <w:p w14:paraId="76B67631" w14:textId="77777777" w:rsidR="003722C1" w:rsidRPr="003722C1" w:rsidRDefault="003722C1" w:rsidP="003722C1">
            <w:pPr>
              <w:rPr>
                <w:rFonts w:ascii="Arial" w:eastAsia="Times New Roman" w:hAnsi="Arial" w:cs="Arial"/>
                <w:color w:val="000000"/>
                <w:sz w:val="20"/>
                <w:szCs w:val="20"/>
              </w:rPr>
            </w:pPr>
            <w:r w:rsidRPr="003722C1">
              <w:rPr>
                <w:rFonts w:ascii="Arial" w:eastAsia="Times New Roman" w:hAnsi="Arial" w:cs="Arial"/>
                <w:color w:val="000000"/>
                <w:sz w:val="20"/>
                <w:szCs w:val="20"/>
              </w:rPr>
              <w:t>Andropogon gerardii</w:t>
            </w:r>
          </w:p>
        </w:tc>
        <w:tc>
          <w:tcPr>
            <w:tcW w:w="820" w:type="dxa"/>
            <w:tcBorders>
              <w:top w:val="nil"/>
              <w:left w:val="nil"/>
              <w:bottom w:val="single" w:sz="4" w:space="0" w:color="auto"/>
              <w:right w:val="single" w:sz="4" w:space="0" w:color="auto"/>
            </w:tcBorders>
            <w:shd w:val="clear" w:color="auto" w:fill="auto"/>
            <w:noWrap/>
            <w:vAlign w:val="bottom"/>
            <w:hideMark/>
          </w:tcPr>
          <w:p w14:paraId="50E1375A" w14:textId="77777777" w:rsidR="003722C1" w:rsidRPr="003722C1" w:rsidRDefault="003722C1" w:rsidP="003722C1">
            <w:pPr>
              <w:jc w:val="right"/>
              <w:rPr>
                <w:rFonts w:ascii="Arial" w:eastAsia="Times New Roman" w:hAnsi="Arial" w:cs="Arial"/>
                <w:color w:val="000000"/>
                <w:sz w:val="20"/>
                <w:szCs w:val="20"/>
              </w:rPr>
            </w:pPr>
            <w:r w:rsidRPr="003722C1">
              <w:rPr>
                <w:rFonts w:ascii="Arial" w:eastAsia="Times New Roman" w:hAnsi="Arial" w:cs="Arial"/>
                <w:color w:val="000000"/>
                <w:sz w:val="20"/>
                <w:szCs w:val="20"/>
              </w:rPr>
              <w:t>1.60</w:t>
            </w:r>
          </w:p>
        </w:tc>
        <w:tc>
          <w:tcPr>
            <w:tcW w:w="1006" w:type="dxa"/>
            <w:tcBorders>
              <w:top w:val="nil"/>
              <w:left w:val="nil"/>
              <w:bottom w:val="single" w:sz="4" w:space="0" w:color="auto"/>
              <w:right w:val="single" w:sz="4" w:space="0" w:color="auto"/>
            </w:tcBorders>
            <w:shd w:val="clear" w:color="auto" w:fill="auto"/>
            <w:noWrap/>
            <w:vAlign w:val="bottom"/>
            <w:hideMark/>
          </w:tcPr>
          <w:p w14:paraId="6B1553C8" w14:textId="77777777" w:rsidR="003722C1" w:rsidRPr="003722C1" w:rsidRDefault="003722C1" w:rsidP="003722C1">
            <w:pPr>
              <w:jc w:val="right"/>
              <w:rPr>
                <w:rFonts w:ascii="Arial" w:eastAsia="Times New Roman" w:hAnsi="Arial" w:cs="Arial"/>
                <w:color w:val="000000"/>
                <w:sz w:val="20"/>
                <w:szCs w:val="20"/>
              </w:rPr>
            </w:pPr>
            <w:r w:rsidRPr="003722C1">
              <w:rPr>
                <w:rFonts w:ascii="Arial" w:eastAsia="Times New Roman" w:hAnsi="Arial" w:cs="Arial"/>
                <w:color w:val="000000"/>
                <w:sz w:val="20"/>
                <w:szCs w:val="20"/>
              </w:rPr>
              <w:t>4.26%</w:t>
            </w:r>
          </w:p>
        </w:tc>
        <w:tc>
          <w:tcPr>
            <w:tcW w:w="1106" w:type="dxa"/>
            <w:tcBorders>
              <w:top w:val="nil"/>
              <w:left w:val="nil"/>
              <w:bottom w:val="single" w:sz="4" w:space="0" w:color="auto"/>
              <w:right w:val="single" w:sz="4" w:space="0" w:color="auto"/>
            </w:tcBorders>
            <w:shd w:val="clear" w:color="auto" w:fill="auto"/>
            <w:noWrap/>
            <w:vAlign w:val="bottom"/>
            <w:hideMark/>
          </w:tcPr>
          <w:p w14:paraId="2C3C0290" w14:textId="77777777" w:rsidR="003722C1" w:rsidRPr="003722C1" w:rsidRDefault="003722C1" w:rsidP="003722C1">
            <w:pPr>
              <w:jc w:val="right"/>
              <w:rPr>
                <w:rFonts w:ascii="Arial" w:eastAsia="Times New Roman" w:hAnsi="Arial" w:cs="Arial"/>
                <w:color w:val="000000"/>
                <w:sz w:val="20"/>
                <w:szCs w:val="20"/>
              </w:rPr>
            </w:pPr>
            <w:r w:rsidRPr="003722C1">
              <w:rPr>
                <w:rFonts w:ascii="Arial" w:eastAsia="Times New Roman" w:hAnsi="Arial" w:cs="Arial"/>
                <w:color w:val="000000"/>
                <w:sz w:val="20"/>
                <w:szCs w:val="20"/>
              </w:rPr>
              <w:t>5.88</w:t>
            </w:r>
          </w:p>
        </w:tc>
        <w:tc>
          <w:tcPr>
            <w:tcW w:w="1106" w:type="dxa"/>
            <w:tcBorders>
              <w:top w:val="nil"/>
              <w:left w:val="nil"/>
              <w:bottom w:val="single" w:sz="4" w:space="0" w:color="auto"/>
              <w:right w:val="single" w:sz="4" w:space="0" w:color="auto"/>
            </w:tcBorders>
            <w:shd w:val="clear" w:color="auto" w:fill="auto"/>
            <w:noWrap/>
            <w:vAlign w:val="bottom"/>
            <w:hideMark/>
          </w:tcPr>
          <w:p w14:paraId="153B1F2A" w14:textId="77777777" w:rsidR="003722C1" w:rsidRPr="003722C1" w:rsidRDefault="003722C1" w:rsidP="003722C1">
            <w:pPr>
              <w:jc w:val="right"/>
              <w:rPr>
                <w:rFonts w:ascii="Arial" w:eastAsia="Times New Roman" w:hAnsi="Arial" w:cs="Arial"/>
                <w:color w:val="000000"/>
                <w:sz w:val="20"/>
                <w:szCs w:val="20"/>
              </w:rPr>
            </w:pPr>
            <w:r w:rsidRPr="003722C1">
              <w:rPr>
                <w:rFonts w:ascii="Arial" w:eastAsia="Times New Roman" w:hAnsi="Arial" w:cs="Arial"/>
                <w:color w:val="000000"/>
                <w:sz w:val="20"/>
                <w:szCs w:val="20"/>
              </w:rPr>
              <w:t>7.58%</w:t>
            </w:r>
          </w:p>
        </w:tc>
      </w:tr>
      <w:tr w:rsidR="003722C1" w:rsidRPr="003722C1" w14:paraId="62BD3EBE" w14:textId="77777777" w:rsidTr="00606E28">
        <w:trPr>
          <w:trHeight w:val="255"/>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14:paraId="35033B9E" w14:textId="77777777" w:rsidR="003722C1" w:rsidRPr="003722C1" w:rsidRDefault="003722C1" w:rsidP="003722C1">
            <w:pPr>
              <w:rPr>
                <w:rFonts w:ascii="Arial" w:eastAsia="Times New Roman" w:hAnsi="Arial" w:cs="Arial"/>
                <w:color w:val="000000"/>
                <w:sz w:val="20"/>
                <w:szCs w:val="20"/>
              </w:rPr>
            </w:pPr>
            <w:proofErr w:type="spellStart"/>
            <w:r w:rsidRPr="003722C1">
              <w:rPr>
                <w:rFonts w:ascii="Arial" w:eastAsia="Times New Roman" w:hAnsi="Arial" w:cs="Arial"/>
                <w:color w:val="000000"/>
                <w:sz w:val="20"/>
                <w:szCs w:val="20"/>
              </w:rPr>
              <w:t>boucur</w:t>
            </w:r>
            <w:proofErr w:type="spellEnd"/>
          </w:p>
        </w:tc>
        <w:tc>
          <w:tcPr>
            <w:tcW w:w="1960" w:type="dxa"/>
            <w:tcBorders>
              <w:top w:val="nil"/>
              <w:left w:val="nil"/>
              <w:bottom w:val="single" w:sz="4" w:space="0" w:color="auto"/>
              <w:right w:val="single" w:sz="4" w:space="0" w:color="auto"/>
            </w:tcBorders>
            <w:shd w:val="clear" w:color="auto" w:fill="auto"/>
            <w:noWrap/>
            <w:vAlign w:val="bottom"/>
            <w:hideMark/>
          </w:tcPr>
          <w:p w14:paraId="5812E407" w14:textId="77777777" w:rsidR="003722C1" w:rsidRPr="003722C1" w:rsidRDefault="003722C1" w:rsidP="003722C1">
            <w:pPr>
              <w:rPr>
                <w:rFonts w:ascii="Arial" w:eastAsia="Times New Roman" w:hAnsi="Arial" w:cs="Arial"/>
                <w:color w:val="000000"/>
                <w:sz w:val="20"/>
                <w:szCs w:val="20"/>
              </w:rPr>
            </w:pPr>
            <w:proofErr w:type="spellStart"/>
            <w:r w:rsidRPr="003722C1">
              <w:rPr>
                <w:rFonts w:ascii="Arial" w:eastAsia="Times New Roman" w:hAnsi="Arial" w:cs="Arial"/>
                <w:color w:val="000000"/>
                <w:sz w:val="20"/>
                <w:szCs w:val="20"/>
              </w:rPr>
              <w:t>Sideoats</w:t>
            </w:r>
            <w:proofErr w:type="spellEnd"/>
            <w:r w:rsidRPr="003722C1">
              <w:rPr>
                <w:rFonts w:ascii="Arial" w:eastAsia="Times New Roman" w:hAnsi="Arial" w:cs="Arial"/>
                <w:color w:val="000000"/>
                <w:sz w:val="20"/>
                <w:szCs w:val="20"/>
              </w:rPr>
              <w:t xml:space="preserve"> Grama</w:t>
            </w:r>
          </w:p>
        </w:tc>
        <w:tc>
          <w:tcPr>
            <w:tcW w:w="2800" w:type="dxa"/>
            <w:tcBorders>
              <w:top w:val="nil"/>
              <w:left w:val="nil"/>
              <w:bottom w:val="single" w:sz="4" w:space="0" w:color="auto"/>
              <w:right w:val="single" w:sz="4" w:space="0" w:color="auto"/>
            </w:tcBorders>
            <w:shd w:val="clear" w:color="000000" w:fill="A9D08E"/>
            <w:noWrap/>
            <w:vAlign w:val="bottom"/>
            <w:hideMark/>
          </w:tcPr>
          <w:p w14:paraId="67C2D342" w14:textId="77777777" w:rsidR="003722C1" w:rsidRPr="003722C1" w:rsidRDefault="003722C1" w:rsidP="003722C1">
            <w:pPr>
              <w:rPr>
                <w:rFonts w:ascii="Arial" w:eastAsia="Times New Roman" w:hAnsi="Arial" w:cs="Arial"/>
                <w:color w:val="000000"/>
                <w:sz w:val="20"/>
                <w:szCs w:val="20"/>
              </w:rPr>
            </w:pPr>
            <w:proofErr w:type="spellStart"/>
            <w:r w:rsidRPr="003722C1">
              <w:rPr>
                <w:rFonts w:ascii="Arial" w:eastAsia="Times New Roman" w:hAnsi="Arial" w:cs="Arial"/>
                <w:color w:val="000000"/>
                <w:sz w:val="20"/>
                <w:szCs w:val="20"/>
              </w:rPr>
              <w:t>Bouteloua</w:t>
            </w:r>
            <w:proofErr w:type="spellEnd"/>
            <w:r w:rsidRPr="003722C1">
              <w:rPr>
                <w:rFonts w:ascii="Arial" w:eastAsia="Times New Roman" w:hAnsi="Arial" w:cs="Arial"/>
                <w:color w:val="000000"/>
                <w:sz w:val="20"/>
                <w:szCs w:val="20"/>
              </w:rPr>
              <w:t xml:space="preserve"> </w:t>
            </w:r>
            <w:proofErr w:type="spellStart"/>
            <w:r w:rsidRPr="003722C1">
              <w:rPr>
                <w:rFonts w:ascii="Arial" w:eastAsia="Times New Roman" w:hAnsi="Arial" w:cs="Arial"/>
                <w:color w:val="000000"/>
                <w:sz w:val="20"/>
                <w:szCs w:val="20"/>
              </w:rPr>
              <w:t>curtipendula</w:t>
            </w:r>
            <w:proofErr w:type="spellEnd"/>
          </w:p>
        </w:tc>
        <w:tc>
          <w:tcPr>
            <w:tcW w:w="820" w:type="dxa"/>
            <w:tcBorders>
              <w:top w:val="nil"/>
              <w:left w:val="nil"/>
              <w:bottom w:val="single" w:sz="4" w:space="0" w:color="auto"/>
              <w:right w:val="single" w:sz="4" w:space="0" w:color="auto"/>
            </w:tcBorders>
            <w:shd w:val="clear" w:color="auto" w:fill="auto"/>
            <w:noWrap/>
            <w:vAlign w:val="bottom"/>
            <w:hideMark/>
          </w:tcPr>
          <w:p w14:paraId="382F6857" w14:textId="77777777" w:rsidR="003722C1" w:rsidRPr="003722C1" w:rsidRDefault="003722C1" w:rsidP="003722C1">
            <w:pPr>
              <w:jc w:val="right"/>
              <w:rPr>
                <w:rFonts w:ascii="Arial" w:eastAsia="Times New Roman" w:hAnsi="Arial" w:cs="Arial"/>
                <w:color w:val="000000"/>
                <w:sz w:val="20"/>
                <w:szCs w:val="20"/>
              </w:rPr>
            </w:pPr>
            <w:r w:rsidRPr="003722C1">
              <w:rPr>
                <w:rFonts w:ascii="Arial" w:eastAsia="Times New Roman" w:hAnsi="Arial" w:cs="Arial"/>
                <w:color w:val="000000"/>
                <w:sz w:val="20"/>
                <w:szCs w:val="20"/>
              </w:rPr>
              <w:t>1.00</w:t>
            </w:r>
          </w:p>
        </w:tc>
        <w:tc>
          <w:tcPr>
            <w:tcW w:w="1006" w:type="dxa"/>
            <w:tcBorders>
              <w:top w:val="nil"/>
              <w:left w:val="nil"/>
              <w:bottom w:val="single" w:sz="4" w:space="0" w:color="auto"/>
              <w:right w:val="single" w:sz="4" w:space="0" w:color="auto"/>
            </w:tcBorders>
            <w:shd w:val="clear" w:color="auto" w:fill="auto"/>
            <w:noWrap/>
            <w:vAlign w:val="bottom"/>
            <w:hideMark/>
          </w:tcPr>
          <w:p w14:paraId="0DC29186" w14:textId="77777777" w:rsidR="003722C1" w:rsidRPr="003722C1" w:rsidRDefault="003722C1" w:rsidP="003722C1">
            <w:pPr>
              <w:jc w:val="right"/>
              <w:rPr>
                <w:rFonts w:ascii="Arial" w:eastAsia="Times New Roman" w:hAnsi="Arial" w:cs="Arial"/>
                <w:color w:val="000000"/>
                <w:sz w:val="20"/>
                <w:szCs w:val="20"/>
              </w:rPr>
            </w:pPr>
            <w:r w:rsidRPr="003722C1">
              <w:rPr>
                <w:rFonts w:ascii="Arial" w:eastAsia="Times New Roman" w:hAnsi="Arial" w:cs="Arial"/>
                <w:color w:val="000000"/>
                <w:sz w:val="20"/>
                <w:szCs w:val="20"/>
              </w:rPr>
              <w:t>2.66%</w:t>
            </w:r>
          </w:p>
        </w:tc>
        <w:tc>
          <w:tcPr>
            <w:tcW w:w="1106" w:type="dxa"/>
            <w:tcBorders>
              <w:top w:val="nil"/>
              <w:left w:val="nil"/>
              <w:bottom w:val="single" w:sz="4" w:space="0" w:color="auto"/>
              <w:right w:val="single" w:sz="4" w:space="0" w:color="auto"/>
            </w:tcBorders>
            <w:shd w:val="clear" w:color="auto" w:fill="auto"/>
            <w:noWrap/>
            <w:vAlign w:val="bottom"/>
            <w:hideMark/>
          </w:tcPr>
          <w:p w14:paraId="7C5572D4" w14:textId="77777777" w:rsidR="003722C1" w:rsidRPr="003722C1" w:rsidRDefault="003722C1" w:rsidP="003722C1">
            <w:pPr>
              <w:jc w:val="right"/>
              <w:rPr>
                <w:rFonts w:ascii="Arial" w:eastAsia="Times New Roman" w:hAnsi="Arial" w:cs="Arial"/>
                <w:color w:val="000000"/>
                <w:sz w:val="20"/>
                <w:szCs w:val="20"/>
              </w:rPr>
            </w:pPr>
            <w:r w:rsidRPr="003722C1">
              <w:rPr>
                <w:rFonts w:ascii="Arial" w:eastAsia="Times New Roman" w:hAnsi="Arial" w:cs="Arial"/>
                <w:color w:val="000000"/>
                <w:sz w:val="20"/>
                <w:szCs w:val="20"/>
              </w:rPr>
              <w:t>2.20</w:t>
            </w:r>
          </w:p>
        </w:tc>
        <w:tc>
          <w:tcPr>
            <w:tcW w:w="1106" w:type="dxa"/>
            <w:tcBorders>
              <w:top w:val="nil"/>
              <w:left w:val="nil"/>
              <w:bottom w:val="single" w:sz="4" w:space="0" w:color="auto"/>
              <w:right w:val="single" w:sz="4" w:space="0" w:color="auto"/>
            </w:tcBorders>
            <w:shd w:val="clear" w:color="auto" w:fill="auto"/>
            <w:noWrap/>
            <w:vAlign w:val="bottom"/>
            <w:hideMark/>
          </w:tcPr>
          <w:p w14:paraId="75233536" w14:textId="77777777" w:rsidR="003722C1" w:rsidRPr="003722C1" w:rsidRDefault="003722C1" w:rsidP="003722C1">
            <w:pPr>
              <w:jc w:val="right"/>
              <w:rPr>
                <w:rFonts w:ascii="Arial" w:eastAsia="Times New Roman" w:hAnsi="Arial" w:cs="Arial"/>
                <w:color w:val="000000"/>
                <w:sz w:val="20"/>
                <w:szCs w:val="20"/>
              </w:rPr>
            </w:pPr>
            <w:r w:rsidRPr="003722C1">
              <w:rPr>
                <w:rFonts w:ascii="Arial" w:eastAsia="Times New Roman" w:hAnsi="Arial" w:cs="Arial"/>
                <w:color w:val="000000"/>
                <w:sz w:val="20"/>
                <w:szCs w:val="20"/>
              </w:rPr>
              <w:t>2.84%</w:t>
            </w:r>
          </w:p>
        </w:tc>
      </w:tr>
      <w:tr w:rsidR="003722C1" w:rsidRPr="003722C1" w14:paraId="45DA1BC6" w14:textId="77777777" w:rsidTr="00606E28">
        <w:trPr>
          <w:trHeight w:val="255"/>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14:paraId="111CEF0B" w14:textId="77777777" w:rsidR="003722C1" w:rsidRPr="003722C1" w:rsidRDefault="003722C1" w:rsidP="003722C1">
            <w:pPr>
              <w:rPr>
                <w:rFonts w:ascii="Arial" w:eastAsia="Times New Roman" w:hAnsi="Arial" w:cs="Arial"/>
                <w:color w:val="000000"/>
                <w:sz w:val="20"/>
                <w:szCs w:val="20"/>
              </w:rPr>
            </w:pPr>
            <w:proofErr w:type="spellStart"/>
            <w:r w:rsidRPr="003722C1">
              <w:rPr>
                <w:rFonts w:ascii="Arial" w:eastAsia="Times New Roman" w:hAnsi="Arial" w:cs="Arial"/>
                <w:color w:val="000000"/>
                <w:sz w:val="20"/>
                <w:szCs w:val="20"/>
              </w:rPr>
              <w:t>brocil</w:t>
            </w:r>
            <w:proofErr w:type="spellEnd"/>
          </w:p>
        </w:tc>
        <w:tc>
          <w:tcPr>
            <w:tcW w:w="1960" w:type="dxa"/>
            <w:tcBorders>
              <w:top w:val="nil"/>
              <w:left w:val="nil"/>
              <w:bottom w:val="single" w:sz="4" w:space="0" w:color="auto"/>
              <w:right w:val="single" w:sz="4" w:space="0" w:color="auto"/>
            </w:tcBorders>
            <w:shd w:val="clear" w:color="auto" w:fill="auto"/>
            <w:noWrap/>
            <w:vAlign w:val="bottom"/>
            <w:hideMark/>
          </w:tcPr>
          <w:p w14:paraId="1E0B41AE" w14:textId="77777777" w:rsidR="003722C1" w:rsidRPr="003722C1" w:rsidRDefault="003722C1" w:rsidP="003722C1">
            <w:pPr>
              <w:rPr>
                <w:rFonts w:ascii="Arial" w:eastAsia="Times New Roman" w:hAnsi="Arial" w:cs="Arial"/>
                <w:color w:val="000000"/>
                <w:sz w:val="20"/>
                <w:szCs w:val="20"/>
              </w:rPr>
            </w:pPr>
            <w:r w:rsidRPr="003722C1">
              <w:rPr>
                <w:rFonts w:ascii="Arial" w:eastAsia="Times New Roman" w:hAnsi="Arial" w:cs="Arial"/>
                <w:color w:val="000000"/>
                <w:sz w:val="20"/>
                <w:szCs w:val="20"/>
              </w:rPr>
              <w:t>Fringed Brome</w:t>
            </w:r>
          </w:p>
        </w:tc>
        <w:tc>
          <w:tcPr>
            <w:tcW w:w="2800" w:type="dxa"/>
            <w:tcBorders>
              <w:top w:val="nil"/>
              <w:left w:val="nil"/>
              <w:bottom w:val="single" w:sz="4" w:space="0" w:color="auto"/>
              <w:right w:val="single" w:sz="4" w:space="0" w:color="auto"/>
            </w:tcBorders>
            <w:shd w:val="clear" w:color="000000" w:fill="A9D08E"/>
            <w:noWrap/>
            <w:vAlign w:val="bottom"/>
            <w:hideMark/>
          </w:tcPr>
          <w:p w14:paraId="30E36B08" w14:textId="77777777" w:rsidR="003722C1" w:rsidRPr="003722C1" w:rsidRDefault="003722C1" w:rsidP="003722C1">
            <w:pPr>
              <w:rPr>
                <w:rFonts w:ascii="Arial" w:eastAsia="Times New Roman" w:hAnsi="Arial" w:cs="Arial"/>
                <w:color w:val="000000"/>
                <w:sz w:val="20"/>
                <w:szCs w:val="20"/>
              </w:rPr>
            </w:pPr>
            <w:r w:rsidRPr="003722C1">
              <w:rPr>
                <w:rFonts w:ascii="Arial" w:eastAsia="Times New Roman" w:hAnsi="Arial" w:cs="Arial"/>
                <w:color w:val="000000"/>
                <w:sz w:val="20"/>
                <w:szCs w:val="20"/>
              </w:rPr>
              <w:t xml:space="preserve">Bromus </w:t>
            </w:r>
            <w:proofErr w:type="spellStart"/>
            <w:r w:rsidRPr="003722C1">
              <w:rPr>
                <w:rFonts w:ascii="Arial" w:eastAsia="Times New Roman" w:hAnsi="Arial" w:cs="Arial"/>
                <w:color w:val="000000"/>
                <w:sz w:val="20"/>
                <w:szCs w:val="20"/>
              </w:rPr>
              <w:t>ciliatus</w:t>
            </w:r>
            <w:proofErr w:type="spellEnd"/>
          </w:p>
        </w:tc>
        <w:tc>
          <w:tcPr>
            <w:tcW w:w="820" w:type="dxa"/>
            <w:tcBorders>
              <w:top w:val="nil"/>
              <w:left w:val="nil"/>
              <w:bottom w:val="single" w:sz="4" w:space="0" w:color="auto"/>
              <w:right w:val="single" w:sz="4" w:space="0" w:color="auto"/>
            </w:tcBorders>
            <w:shd w:val="clear" w:color="auto" w:fill="auto"/>
            <w:noWrap/>
            <w:vAlign w:val="bottom"/>
            <w:hideMark/>
          </w:tcPr>
          <w:p w14:paraId="1F8DDBF0" w14:textId="77777777" w:rsidR="003722C1" w:rsidRPr="003722C1" w:rsidRDefault="003722C1" w:rsidP="003722C1">
            <w:pPr>
              <w:jc w:val="right"/>
              <w:rPr>
                <w:rFonts w:ascii="Arial" w:eastAsia="Times New Roman" w:hAnsi="Arial" w:cs="Arial"/>
                <w:color w:val="000000"/>
                <w:sz w:val="20"/>
                <w:szCs w:val="20"/>
              </w:rPr>
            </w:pPr>
            <w:r w:rsidRPr="003722C1">
              <w:rPr>
                <w:rFonts w:ascii="Arial" w:eastAsia="Times New Roman" w:hAnsi="Arial" w:cs="Arial"/>
                <w:color w:val="000000"/>
                <w:sz w:val="20"/>
                <w:szCs w:val="20"/>
              </w:rPr>
              <w:t>0.90</w:t>
            </w:r>
          </w:p>
        </w:tc>
        <w:tc>
          <w:tcPr>
            <w:tcW w:w="1006" w:type="dxa"/>
            <w:tcBorders>
              <w:top w:val="nil"/>
              <w:left w:val="nil"/>
              <w:bottom w:val="single" w:sz="4" w:space="0" w:color="auto"/>
              <w:right w:val="single" w:sz="4" w:space="0" w:color="auto"/>
            </w:tcBorders>
            <w:shd w:val="clear" w:color="auto" w:fill="auto"/>
            <w:noWrap/>
            <w:vAlign w:val="bottom"/>
            <w:hideMark/>
          </w:tcPr>
          <w:p w14:paraId="203B4B59" w14:textId="77777777" w:rsidR="003722C1" w:rsidRPr="003722C1" w:rsidRDefault="003722C1" w:rsidP="003722C1">
            <w:pPr>
              <w:jc w:val="right"/>
              <w:rPr>
                <w:rFonts w:ascii="Arial" w:eastAsia="Times New Roman" w:hAnsi="Arial" w:cs="Arial"/>
                <w:color w:val="000000"/>
                <w:sz w:val="20"/>
                <w:szCs w:val="20"/>
              </w:rPr>
            </w:pPr>
            <w:r w:rsidRPr="003722C1">
              <w:rPr>
                <w:rFonts w:ascii="Arial" w:eastAsia="Times New Roman" w:hAnsi="Arial" w:cs="Arial"/>
                <w:color w:val="000000"/>
                <w:sz w:val="20"/>
                <w:szCs w:val="20"/>
              </w:rPr>
              <w:t>2.39%</w:t>
            </w:r>
          </w:p>
        </w:tc>
        <w:tc>
          <w:tcPr>
            <w:tcW w:w="1106" w:type="dxa"/>
            <w:tcBorders>
              <w:top w:val="nil"/>
              <w:left w:val="nil"/>
              <w:bottom w:val="single" w:sz="4" w:space="0" w:color="auto"/>
              <w:right w:val="single" w:sz="4" w:space="0" w:color="auto"/>
            </w:tcBorders>
            <w:shd w:val="clear" w:color="auto" w:fill="auto"/>
            <w:noWrap/>
            <w:vAlign w:val="bottom"/>
            <w:hideMark/>
          </w:tcPr>
          <w:p w14:paraId="1DC661E9" w14:textId="77777777" w:rsidR="003722C1" w:rsidRPr="003722C1" w:rsidRDefault="003722C1" w:rsidP="003722C1">
            <w:pPr>
              <w:jc w:val="right"/>
              <w:rPr>
                <w:rFonts w:ascii="Arial" w:eastAsia="Times New Roman" w:hAnsi="Arial" w:cs="Arial"/>
                <w:color w:val="000000"/>
                <w:sz w:val="20"/>
                <w:szCs w:val="20"/>
              </w:rPr>
            </w:pPr>
            <w:r w:rsidRPr="003722C1">
              <w:rPr>
                <w:rFonts w:ascii="Arial" w:eastAsia="Times New Roman" w:hAnsi="Arial" w:cs="Arial"/>
                <w:color w:val="000000"/>
                <w:sz w:val="20"/>
                <w:szCs w:val="20"/>
              </w:rPr>
              <w:t>3.64</w:t>
            </w:r>
          </w:p>
        </w:tc>
        <w:tc>
          <w:tcPr>
            <w:tcW w:w="1106" w:type="dxa"/>
            <w:tcBorders>
              <w:top w:val="nil"/>
              <w:left w:val="nil"/>
              <w:bottom w:val="single" w:sz="4" w:space="0" w:color="auto"/>
              <w:right w:val="single" w:sz="4" w:space="0" w:color="auto"/>
            </w:tcBorders>
            <w:shd w:val="clear" w:color="auto" w:fill="auto"/>
            <w:noWrap/>
            <w:vAlign w:val="bottom"/>
            <w:hideMark/>
          </w:tcPr>
          <w:p w14:paraId="5EA6F38C" w14:textId="77777777" w:rsidR="003722C1" w:rsidRPr="003722C1" w:rsidRDefault="003722C1" w:rsidP="003722C1">
            <w:pPr>
              <w:jc w:val="right"/>
              <w:rPr>
                <w:rFonts w:ascii="Arial" w:eastAsia="Times New Roman" w:hAnsi="Arial" w:cs="Arial"/>
                <w:color w:val="000000"/>
                <w:sz w:val="20"/>
                <w:szCs w:val="20"/>
              </w:rPr>
            </w:pPr>
            <w:r w:rsidRPr="003722C1">
              <w:rPr>
                <w:rFonts w:ascii="Arial" w:eastAsia="Times New Roman" w:hAnsi="Arial" w:cs="Arial"/>
                <w:color w:val="000000"/>
                <w:sz w:val="20"/>
                <w:szCs w:val="20"/>
              </w:rPr>
              <w:t>4.69%</w:t>
            </w:r>
          </w:p>
        </w:tc>
      </w:tr>
      <w:tr w:rsidR="003722C1" w:rsidRPr="003722C1" w14:paraId="4A2D1DCC" w14:textId="77777777" w:rsidTr="00606E28">
        <w:trPr>
          <w:trHeight w:val="255"/>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14:paraId="5B685392" w14:textId="77777777" w:rsidR="003722C1" w:rsidRPr="003722C1" w:rsidRDefault="003722C1" w:rsidP="003722C1">
            <w:pPr>
              <w:rPr>
                <w:rFonts w:ascii="Arial" w:eastAsia="Times New Roman" w:hAnsi="Arial" w:cs="Arial"/>
                <w:color w:val="000000"/>
                <w:sz w:val="20"/>
                <w:szCs w:val="20"/>
              </w:rPr>
            </w:pPr>
            <w:proofErr w:type="spellStart"/>
            <w:r w:rsidRPr="003722C1">
              <w:rPr>
                <w:rFonts w:ascii="Arial" w:eastAsia="Times New Roman" w:hAnsi="Arial" w:cs="Arial"/>
                <w:color w:val="000000"/>
                <w:sz w:val="20"/>
                <w:szCs w:val="20"/>
              </w:rPr>
              <w:t>elycan</w:t>
            </w:r>
            <w:proofErr w:type="spellEnd"/>
          </w:p>
        </w:tc>
        <w:tc>
          <w:tcPr>
            <w:tcW w:w="1960" w:type="dxa"/>
            <w:tcBorders>
              <w:top w:val="nil"/>
              <w:left w:val="nil"/>
              <w:bottom w:val="single" w:sz="4" w:space="0" w:color="auto"/>
              <w:right w:val="single" w:sz="4" w:space="0" w:color="auto"/>
            </w:tcBorders>
            <w:shd w:val="clear" w:color="auto" w:fill="auto"/>
            <w:noWrap/>
            <w:vAlign w:val="bottom"/>
            <w:hideMark/>
          </w:tcPr>
          <w:p w14:paraId="4C5ADD4F" w14:textId="77777777" w:rsidR="003722C1" w:rsidRPr="003722C1" w:rsidRDefault="003722C1" w:rsidP="003722C1">
            <w:pPr>
              <w:rPr>
                <w:rFonts w:ascii="Arial" w:eastAsia="Times New Roman" w:hAnsi="Arial" w:cs="Arial"/>
                <w:color w:val="000000"/>
                <w:sz w:val="20"/>
                <w:szCs w:val="20"/>
              </w:rPr>
            </w:pPr>
            <w:r w:rsidRPr="003722C1">
              <w:rPr>
                <w:rFonts w:ascii="Arial" w:eastAsia="Times New Roman" w:hAnsi="Arial" w:cs="Arial"/>
                <w:color w:val="000000"/>
                <w:sz w:val="20"/>
                <w:szCs w:val="20"/>
              </w:rPr>
              <w:t>Canada Wild Rye</w:t>
            </w:r>
          </w:p>
        </w:tc>
        <w:tc>
          <w:tcPr>
            <w:tcW w:w="2800" w:type="dxa"/>
            <w:tcBorders>
              <w:top w:val="nil"/>
              <w:left w:val="nil"/>
              <w:bottom w:val="single" w:sz="4" w:space="0" w:color="auto"/>
              <w:right w:val="single" w:sz="4" w:space="0" w:color="auto"/>
            </w:tcBorders>
            <w:shd w:val="clear" w:color="000000" w:fill="A9D08E"/>
            <w:noWrap/>
            <w:vAlign w:val="bottom"/>
            <w:hideMark/>
          </w:tcPr>
          <w:p w14:paraId="54E8EE4C" w14:textId="77777777" w:rsidR="003722C1" w:rsidRPr="003722C1" w:rsidRDefault="003722C1" w:rsidP="003722C1">
            <w:pPr>
              <w:rPr>
                <w:rFonts w:ascii="Arial" w:eastAsia="Times New Roman" w:hAnsi="Arial" w:cs="Arial"/>
                <w:color w:val="000000"/>
                <w:sz w:val="20"/>
                <w:szCs w:val="20"/>
              </w:rPr>
            </w:pPr>
            <w:r w:rsidRPr="003722C1">
              <w:rPr>
                <w:rFonts w:ascii="Arial" w:eastAsia="Times New Roman" w:hAnsi="Arial" w:cs="Arial"/>
                <w:color w:val="000000"/>
                <w:sz w:val="20"/>
                <w:szCs w:val="20"/>
              </w:rPr>
              <w:t>Elymus canadensis</w:t>
            </w:r>
          </w:p>
        </w:tc>
        <w:tc>
          <w:tcPr>
            <w:tcW w:w="820" w:type="dxa"/>
            <w:tcBorders>
              <w:top w:val="nil"/>
              <w:left w:val="nil"/>
              <w:bottom w:val="single" w:sz="4" w:space="0" w:color="auto"/>
              <w:right w:val="single" w:sz="4" w:space="0" w:color="auto"/>
            </w:tcBorders>
            <w:shd w:val="clear" w:color="auto" w:fill="auto"/>
            <w:noWrap/>
            <w:vAlign w:val="bottom"/>
            <w:hideMark/>
          </w:tcPr>
          <w:p w14:paraId="070AC835" w14:textId="77777777" w:rsidR="003722C1" w:rsidRPr="003722C1" w:rsidRDefault="003722C1" w:rsidP="003722C1">
            <w:pPr>
              <w:jc w:val="right"/>
              <w:rPr>
                <w:rFonts w:ascii="Arial" w:eastAsia="Times New Roman" w:hAnsi="Arial" w:cs="Arial"/>
                <w:color w:val="000000"/>
                <w:sz w:val="20"/>
                <w:szCs w:val="20"/>
              </w:rPr>
            </w:pPr>
            <w:r w:rsidRPr="003722C1">
              <w:rPr>
                <w:rFonts w:ascii="Arial" w:eastAsia="Times New Roman" w:hAnsi="Arial" w:cs="Arial"/>
                <w:color w:val="000000"/>
                <w:sz w:val="20"/>
                <w:szCs w:val="20"/>
              </w:rPr>
              <w:t>2.00</w:t>
            </w:r>
          </w:p>
        </w:tc>
        <w:tc>
          <w:tcPr>
            <w:tcW w:w="1006" w:type="dxa"/>
            <w:tcBorders>
              <w:top w:val="nil"/>
              <w:left w:val="nil"/>
              <w:bottom w:val="single" w:sz="4" w:space="0" w:color="auto"/>
              <w:right w:val="single" w:sz="4" w:space="0" w:color="auto"/>
            </w:tcBorders>
            <w:shd w:val="clear" w:color="auto" w:fill="auto"/>
            <w:noWrap/>
            <w:vAlign w:val="bottom"/>
            <w:hideMark/>
          </w:tcPr>
          <w:p w14:paraId="43AF50A0" w14:textId="77777777" w:rsidR="003722C1" w:rsidRPr="003722C1" w:rsidRDefault="003722C1" w:rsidP="003722C1">
            <w:pPr>
              <w:jc w:val="right"/>
              <w:rPr>
                <w:rFonts w:ascii="Arial" w:eastAsia="Times New Roman" w:hAnsi="Arial" w:cs="Arial"/>
                <w:color w:val="000000"/>
                <w:sz w:val="20"/>
                <w:szCs w:val="20"/>
              </w:rPr>
            </w:pPr>
            <w:r w:rsidRPr="003722C1">
              <w:rPr>
                <w:rFonts w:ascii="Arial" w:eastAsia="Times New Roman" w:hAnsi="Arial" w:cs="Arial"/>
                <w:color w:val="000000"/>
                <w:sz w:val="20"/>
                <w:szCs w:val="20"/>
              </w:rPr>
              <w:t>5.32%</w:t>
            </w:r>
          </w:p>
        </w:tc>
        <w:tc>
          <w:tcPr>
            <w:tcW w:w="1106" w:type="dxa"/>
            <w:tcBorders>
              <w:top w:val="nil"/>
              <w:left w:val="nil"/>
              <w:bottom w:val="single" w:sz="4" w:space="0" w:color="auto"/>
              <w:right w:val="single" w:sz="4" w:space="0" w:color="auto"/>
            </w:tcBorders>
            <w:shd w:val="clear" w:color="auto" w:fill="auto"/>
            <w:noWrap/>
            <w:vAlign w:val="bottom"/>
            <w:hideMark/>
          </w:tcPr>
          <w:p w14:paraId="37B4ECE2" w14:textId="77777777" w:rsidR="003722C1" w:rsidRPr="003722C1" w:rsidRDefault="003722C1" w:rsidP="003722C1">
            <w:pPr>
              <w:jc w:val="right"/>
              <w:rPr>
                <w:rFonts w:ascii="Arial" w:eastAsia="Times New Roman" w:hAnsi="Arial" w:cs="Arial"/>
                <w:color w:val="000000"/>
                <w:sz w:val="20"/>
                <w:szCs w:val="20"/>
              </w:rPr>
            </w:pPr>
            <w:r w:rsidRPr="003722C1">
              <w:rPr>
                <w:rFonts w:ascii="Arial" w:eastAsia="Times New Roman" w:hAnsi="Arial" w:cs="Arial"/>
                <w:color w:val="000000"/>
                <w:sz w:val="20"/>
                <w:szCs w:val="20"/>
              </w:rPr>
              <w:t>3.82</w:t>
            </w:r>
          </w:p>
        </w:tc>
        <w:tc>
          <w:tcPr>
            <w:tcW w:w="1106" w:type="dxa"/>
            <w:tcBorders>
              <w:top w:val="nil"/>
              <w:left w:val="nil"/>
              <w:bottom w:val="single" w:sz="4" w:space="0" w:color="auto"/>
              <w:right w:val="single" w:sz="4" w:space="0" w:color="auto"/>
            </w:tcBorders>
            <w:shd w:val="clear" w:color="auto" w:fill="auto"/>
            <w:noWrap/>
            <w:vAlign w:val="bottom"/>
            <w:hideMark/>
          </w:tcPr>
          <w:p w14:paraId="32F05D03" w14:textId="77777777" w:rsidR="003722C1" w:rsidRPr="003722C1" w:rsidRDefault="003722C1" w:rsidP="003722C1">
            <w:pPr>
              <w:jc w:val="right"/>
              <w:rPr>
                <w:rFonts w:ascii="Arial" w:eastAsia="Times New Roman" w:hAnsi="Arial" w:cs="Arial"/>
                <w:color w:val="000000"/>
                <w:sz w:val="20"/>
                <w:szCs w:val="20"/>
              </w:rPr>
            </w:pPr>
            <w:r w:rsidRPr="003722C1">
              <w:rPr>
                <w:rFonts w:ascii="Arial" w:eastAsia="Times New Roman" w:hAnsi="Arial" w:cs="Arial"/>
                <w:color w:val="000000"/>
                <w:sz w:val="20"/>
                <w:szCs w:val="20"/>
              </w:rPr>
              <w:t>4.93%</w:t>
            </w:r>
          </w:p>
        </w:tc>
      </w:tr>
      <w:tr w:rsidR="003722C1" w:rsidRPr="003722C1" w14:paraId="0EBE9FE1" w14:textId="77777777" w:rsidTr="00606E28">
        <w:trPr>
          <w:trHeight w:val="255"/>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14:paraId="3FDCEF8E" w14:textId="77777777" w:rsidR="003722C1" w:rsidRPr="003722C1" w:rsidRDefault="003722C1" w:rsidP="003722C1">
            <w:pPr>
              <w:rPr>
                <w:rFonts w:ascii="Arial" w:eastAsia="Times New Roman" w:hAnsi="Arial" w:cs="Arial"/>
                <w:color w:val="000000"/>
                <w:sz w:val="20"/>
                <w:szCs w:val="20"/>
              </w:rPr>
            </w:pPr>
            <w:r w:rsidRPr="003722C1">
              <w:rPr>
                <w:rFonts w:ascii="Arial" w:eastAsia="Times New Roman" w:hAnsi="Arial" w:cs="Arial"/>
                <w:color w:val="000000"/>
                <w:sz w:val="20"/>
                <w:szCs w:val="20"/>
              </w:rPr>
              <w:t>elytra</w:t>
            </w:r>
          </w:p>
        </w:tc>
        <w:tc>
          <w:tcPr>
            <w:tcW w:w="1960" w:type="dxa"/>
            <w:tcBorders>
              <w:top w:val="nil"/>
              <w:left w:val="nil"/>
              <w:bottom w:val="single" w:sz="4" w:space="0" w:color="auto"/>
              <w:right w:val="single" w:sz="4" w:space="0" w:color="auto"/>
            </w:tcBorders>
            <w:shd w:val="clear" w:color="auto" w:fill="auto"/>
            <w:noWrap/>
            <w:vAlign w:val="bottom"/>
            <w:hideMark/>
          </w:tcPr>
          <w:p w14:paraId="19DEE943" w14:textId="77777777" w:rsidR="003722C1" w:rsidRPr="003722C1" w:rsidRDefault="003722C1" w:rsidP="003722C1">
            <w:pPr>
              <w:rPr>
                <w:rFonts w:ascii="Arial" w:eastAsia="Times New Roman" w:hAnsi="Arial" w:cs="Arial"/>
                <w:color w:val="000000"/>
                <w:sz w:val="20"/>
                <w:szCs w:val="20"/>
              </w:rPr>
            </w:pPr>
            <w:r w:rsidRPr="003722C1">
              <w:rPr>
                <w:rFonts w:ascii="Arial" w:eastAsia="Times New Roman" w:hAnsi="Arial" w:cs="Arial"/>
                <w:color w:val="000000"/>
                <w:sz w:val="20"/>
                <w:szCs w:val="20"/>
              </w:rPr>
              <w:t>Slender Wheatgrass</w:t>
            </w:r>
          </w:p>
        </w:tc>
        <w:tc>
          <w:tcPr>
            <w:tcW w:w="2800" w:type="dxa"/>
            <w:tcBorders>
              <w:top w:val="nil"/>
              <w:left w:val="nil"/>
              <w:bottom w:val="single" w:sz="4" w:space="0" w:color="auto"/>
              <w:right w:val="single" w:sz="4" w:space="0" w:color="auto"/>
            </w:tcBorders>
            <w:shd w:val="clear" w:color="000000" w:fill="A9D08E"/>
            <w:noWrap/>
            <w:vAlign w:val="bottom"/>
            <w:hideMark/>
          </w:tcPr>
          <w:p w14:paraId="17A77E8B" w14:textId="77777777" w:rsidR="003722C1" w:rsidRPr="003722C1" w:rsidRDefault="003722C1" w:rsidP="003722C1">
            <w:pPr>
              <w:rPr>
                <w:rFonts w:ascii="Arial" w:eastAsia="Times New Roman" w:hAnsi="Arial" w:cs="Arial"/>
                <w:color w:val="000000"/>
                <w:sz w:val="20"/>
                <w:szCs w:val="20"/>
              </w:rPr>
            </w:pPr>
            <w:r w:rsidRPr="003722C1">
              <w:rPr>
                <w:rFonts w:ascii="Arial" w:eastAsia="Times New Roman" w:hAnsi="Arial" w:cs="Arial"/>
                <w:color w:val="000000"/>
                <w:sz w:val="20"/>
                <w:szCs w:val="20"/>
              </w:rPr>
              <w:t xml:space="preserve">Elymus </w:t>
            </w:r>
            <w:proofErr w:type="spellStart"/>
            <w:r w:rsidRPr="003722C1">
              <w:rPr>
                <w:rFonts w:ascii="Arial" w:eastAsia="Times New Roman" w:hAnsi="Arial" w:cs="Arial"/>
                <w:color w:val="000000"/>
                <w:sz w:val="20"/>
                <w:szCs w:val="20"/>
              </w:rPr>
              <w:t>trachycaulus</w:t>
            </w:r>
            <w:proofErr w:type="spellEnd"/>
          </w:p>
        </w:tc>
        <w:tc>
          <w:tcPr>
            <w:tcW w:w="820" w:type="dxa"/>
            <w:tcBorders>
              <w:top w:val="nil"/>
              <w:left w:val="nil"/>
              <w:bottom w:val="single" w:sz="4" w:space="0" w:color="auto"/>
              <w:right w:val="single" w:sz="4" w:space="0" w:color="auto"/>
            </w:tcBorders>
            <w:shd w:val="clear" w:color="auto" w:fill="auto"/>
            <w:noWrap/>
            <w:vAlign w:val="bottom"/>
            <w:hideMark/>
          </w:tcPr>
          <w:p w14:paraId="0FAE4DC0" w14:textId="77777777" w:rsidR="003722C1" w:rsidRPr="003722C1" w:rsidRDefault="003722C1" w:rsidP="003722C1">
            <w:pPr>
              <w:jc w:val="right"/>
              <w:rPr>
                <w:rFonts w:ascii="Arial" w:eastAsia="Times New Roman" w:hAnsi="Arial" w:cs="Arial"/>
                <w:color w:val="000000"/>
                <w:sz w:val="20"/>
                <w:szCs w:val="20"/>
              </w:rPr>
            </w:pPr>
            <w:r w:rsidRPr="003722C1">
              <w:rPr>
                <w:rFonts w:ascii="Arial" w:eastAsia="Times New Roman" w:hAnsi="Arial" w:cs="Arial"/>
                <w:color w:val="000000"/>
                <w:sz w:val="20"/>
                <w:szCs w:val="20"/>
              </w:rPr>
              <w:t>2.00</w:t>
            </w:r>
          </w:p>
        </w:tc>
        <w:tc>
          <w:tcPr>
            <w:tcW w:w="1006" w:type="dxa"/>
            <w:tcBorders>
              <w:top w:val="nil"/>
              <w:left w:val="nil"/>
              <w:bottom w:val="single" w:sz="4" w:space="0" w:color="auto"/>
              <w:right w:val="single" w:sz="4" w:space="0" w:color="auto"/>
            </w:tcBorders>
            <w:shd w:val="clear" w:color="auto" w:fill="auto"/>
            <w:noWrap/>
            <w:vAlign w:val="bottom"/>
            <w:hideMark/>
          </w:tcPr>
          <w:p w14:paraId="2CE97B85" w14:textId="77777777" w:rsidR="003722C1" w:rsidRPr="003722C1" w:rsidRDefault="003722C1" w:rsidP="003722C1">
            <w:pPr>
              <w:jc w:val="right"/>
              <w:rPr>
                <w:rFonts w:ascii="Arial" w:eastAsia="Times New Roman" w:hAnsi="Arial" w:cs="Arial"/>
                <w:color w:val="000000"/>
                <w:sz w:val="20"/>
                <w:szCs w:val="20"/>
              </w:rPr>
            </w:pPr>
            <w:r w:rsidRPr="003722C1">
              <w:rPr>
                <w:rFonts w:ascii="Arial" w:eastAsia="Times New Roman" w:hAnsi="Arial" w:cs="Arial"/>
                <w:color w:val="000000"/>
                <w:sz w:val="20"/>
                <w:szCs w:val="20"/>
              </w:rPr>
              <w:t>5.32%</w:t>
            </w:r>
          </w:p>
        </w:tc>
        <w:tc>
          <w:tcPr>
            <w:tcW w:w="1106" w:type="dxa"/>
            <w:tcBorders>
              <w:top w:val="nil"/>
              <w:left w:val="nil"/>
              <w:bottom w:val="single" w:sz="4" w:space="0" w:color="auto"/>
              <w:right w:val="single" w:sz="4" w:space="0" w:color="auto"/>
            </w:tcBorders>
            <w:shd w:val="clear" w:color="auto" w:fill="auto"/>
            <w:noWrap/>
            <w:vAlign w:val="bottom"/>
            <w:hideMark/>
          </w:tcPr>
          <w:p w14:paraId="14345CB5" w14:textId="77777777" w:rsidR="003722C1" w:rsidRPr="003722C1" w:rsidRDefault="003722C1" w:rsidP="003722C1">
            <w:pPr>
              <w:jc w:val="right"/>
              <w:rPr>
                <w:rFonts w:ascii="Arial" w:eastAsia="Times New Roman" w:hAnsi="Arial" w:cs="Arial"/>
                <w:color w:val="000000"/>
                <w:sz w:val="20"/>
                <w:szCs w:val="20"/>
              </w:rPr>
            </w:pPr>
            <w:r w:rsidRPr="003722C1">
              <w:rPr>
                <w:rFonts w:ascii="Arial" w:eastAsia="Times New Roman" w:hAnsi="Arial" w:cs="Arial"/>
                <w:color w:val="000000"/>
                <w:sz w:val="20"/>
                <w:szCs w:val="20"/>
              </w:rPr>
              <w:t>5.07</w:t>
            </w:r>
          </w:p>
        </w:tc>
        <w:tc>
          <w:tcPr>
            <w:tcW w:w="1106" w:type="dxa"/>
            <w:tcBorders>
              <w:top w:val="nil"/>
              <w:left w:val="nil"/>
              <w:bottom w:val="single" w:sz="4" w:space="0" w:color="auto"/>
              <w:right w:val="single" w:sz="4" w:space="0" w:color="auto"/>
            </w:tcBorders>
            <w:shd w:val="clear" w:color="auto" w:fill="auto"/>
            <w:noWrap/>
            <w:vAlign w:val="bottom"/>
            <w:hideMark/>
          </w:tcPr>
          <w:p w14:paraId="37D558DB" w14:textId="77777777" w:rsidR="003722C1" w:rsidRPr="003722C1" w:rsidRDefault="003722C1" w:rsidP="003722C1">
            <w:pPr>
              <w:jc w:val="right"/>
              <w:rPr>
                <w:rFonts w:ascii="Arial" w:eastAsia="Times New Roman" w:hAnsi="Arial" w:cs="Arial"/>
                <w:color w:val="000000"/>
                <w:sz w:val="20"/>
                <w:szCs w:val="20"/>
              </w:rPr>
            </w:pPr>
            <w:r w:rsidRPr="003722C1">
              <w:rPr>
                <w:rFonts w:ascii="Arial" w:eastAsia="Times New Roman" w:hAnsi="Arial" w:cs="Arial"/>
                <w:color w:val="000000"/>
                <w:sz w:val="20"/>
                <w:szCs w:val="20"/>
              </w:rPr>
              <w:t>6.54%</w:t>
            </w:r>
          </w:p>
        </w:tc>
      </w:tr>
      <w:tr w:rsidR="003722C1" w:rsidRPr="003722C1" w14:paraId="3D356713" w14:textId="77777777" w:rsidTr="00606E28">
        <w:trPr>
          <w:trHeight w:val="255"/>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14:paraId="420837CE" w14:textId="77777777" w:rsidR="003722C1" w:rsidRPr="003722C1" w:rsidRDefault="003722C1" w:rsidP="003722C1">
            <w:pPr>
              <w:rPr>
                <w:rFonts w:ascii="Arial" w:eastAsia="Times New Roman" w:hAnsi="Arial" w:cs="Arial"/>
                <w:color w:val="000000"/>
                <w:sz w:val="20"/>
                <w:szCs w:val="20"/>
              </w:rPr>
            </w:pPr>
            <w:proofErr w:type="spellStart"/>
            <w:r w:rsidRPr="003722C1">
              <w:rPr>
                <w:rFonts w:ascii="Arial" w:eastAsia="Times New Roman" w:hAnsi="Arial" w:cs="Arial"/>
                <w:color w:val="000000"/>
                <w:sz w:val="20"/>
                <w:szCs w:val="20"/>
              </w:rPr>
              <w:t>elyvir</w:t>
            </w:r>
            <w:proofErr w:type="spellEnd"/>
          </w:p>
        </w:tc>
        <w:tc>
          <w:tcPr>
            <w:tcW w:w="1960" w:type="dxa"/>
            <w:tcBorders>
              <w:top w:val="nil"/>
              <w:left w:val="nil"/>
              <w:bottom w:val="single" w:sz="4" w:space="0" w:color="auto"/>
              <w:right w:val="single" w:sz="4" w:space="0" w:color="auto"/>
            </w:tcBorders>
            <w:shd w:val="clear" w:color="auto" w:fill="auto"/>
            <w:noWrap/>
            <w:vAlign w:val="bottom"/>
            <w:hideMark/>
          </w:tcPr>
          <w:p w14:paraId="5051B519" w14:textId="77777777" w:rsidR="003722C1" w:rsidRPr="003722C1" w:rsidRDefault="003722C1" w:rsidP="003722C1">
            <w:pPr>
              <w:rPr>
                <w:rFonts w:ascii="Arial" w:eastAsia="Times New Roman" w:hAnsi="Arial" w:cs="Arial"/>
                <w:color w:val="000000"/>
                <w:sz w:val="20"/>
                <w:szCs w:val="20"/>
              </w:rPr>
            </w:pPr>
            <w:r w:rsidRPr="003722C1">
              <w:rPr>
                <w:rFonts w:ascii="Arial" w:eastAsia="Times New Roman" w:hAnsi="Arial" w:cs="Arial"/>
                <w:color w:val="000000"/>
                <w:sz w:val="20"/>
                <w:szCs w:val="20"/>
              </w:rPr>
              <w:t>Virginia Wild Rye</w:t>
            </w:r>
          </w:p>
        </w:tc>
        <w:tc>
          <w:tcPr>
            <w:tcW w:w="2800" w:type="dxa"/>
            <w:tcBorders>
              <w:top w:val="nil"/>
              <w:left w:val="nil"/>
              <w:bottom w:val="single" w:sz="4" w:space="0" w:color="auto"/>
              <w:right w:val="single" w:sz="4" w:space="0" w:color="auto"/>
            </w:tcBorders>
            <w:shd w:val="clear" w:color="000000" w:fill="A9D08E"/>
            <w:noWrap/>
            <w:vAlign w:val="bottom"/>
            <w:hideMark/>
          </w:tcPr>
          <w:p w14:paraId="699D630F" w14:textId="77777777" w:rsidR="003722C1" w:rsidRPr="003722C1" w:rsidRDefault="003722C1" w:rsidP="003722C1">
            <w:pPr>
              <w:rPr>
                <w:rFonts w:ascii="Arial" w:eastAsia="Times New Roman" w:hAnsi="Arial" w:cs="Arial"/>
                <w:color w:val="000000"/>
                <w:sz w:val="20"/>
                <w:szCs w:val="20"/>
              </w:rPr>
            </w:pPr>
            <w:r w:rsidRPr="003722C1">
              <w:rPr>
                <w:rFonts w:ascii="Arial" w:eastAsia="Times New Roman" w:hAnsi="Arial" w:cs="Arial"/>
                <w:color w:val="000000"/>
                <w:sz w:val="20"/>
                <w:szCs w:val="20"/>
              </w:rPr>
              <w:t xml:space="preserve">Elymus </w:t>
            </w:r>
            <w:proofErr w:type="spellStart"/>
            <w:r w:rsidRPr="003722C1">
              <w:rPr>
                <w:rFonts w:ascii="Arial" w:eastAsia="Times New Roman" w:hAnsi="Arial" w:cs="Arial"/>
                <w:color w:val="000000"/>
                <w:sz w:val="20"/>
                <w:szCs w:val="20"/>
              </w:rPr>
              <w:t>virginicus</w:t>
            </w:r>
            <w:proofErr w:type="spellEnd"/>
          </w:p>
        </w:tc>
        <w:tc>
          <w:tcPr>
            <w:tcW w:w="820" w:type="dxa"/>
            <w:tcBorders>
              <w:top w:val="nil"/>
              <w:left w:val="nil"/>
              <w:bottom w:val="single" w:sz="4" w:space="0" w:color="auto"/>
              <w:right w:val="single" w:sz="4" w:space="0" w:color="auto"/>
            </w:tcBorders>
            <w:shd w:val="clear" w:color="auto" w:fill="auto"/>
            <w:noWrap/>
            <w:vAlign w:val="bottom"/>
            <w:hideMark/>
          </w:tcPr>
          <w:p w14:paraId="55EE34A1" w14:textId="77777777" w:rsidR="003722C1" w:rsidRPr="003722C1" w:rsidRDefault="003722C1" w:rsidP="003722C1">
            <w:pPr>
              <w:jc w:val="right"/>
              <w:rPr>
                <w:rFonts w:ascii="Arial" w:eastAsia="Times New Roman" w:hAnsi="Arial" w:cs="Arial"/>
                <w:color w:val="000000"/>
                <w:sz w:val="20"/>
                <w:szCs w:val="20"/>
              </w:rPr>
            </w:pPr>
            <w:r w:rsidRPr="003722C1">
              <w:rPr>
                <w:rFonts w:ascii="Arial" w:eastAsia="Times New Roman" w:hAnsi="Arial" w:cs="Arial"/>
                <w:color w:val="000000"/>
                <w:sz w:val="20"/>
                <w:szCs w:val="20"/>
              </w:rPr>
              <w:t>2.00</w:t>
            </w:r>
          </w:p>
        </w:tc>
        <w:tc>
          <w:tcPr>
            <w:tcW w:w="1006" w:type="dxa"/>
            <w:tcBorders>
              <w:top w:val="nil"/>
              <w:left w:val="nil"/>
              <w:bottom w:val="single" w:sz="4" w:space="0" w:color="auto"/>
              <w:right w:val="single" w:sz="4" w:space="0" w:color="auto"/>
            </w:tcBorders>
            <w:shd w:val="clear" w:color="auto" w:fill="auto"/>
            <w:noWrap/>
            <w:vAlign w:val="bottom"/>
            <w:hideMark/>
          </w:tcPr>
          <w:p w14:paraId="2E65D9D5" w14:textId="77777777" w:rsidR="003722C1" w:rsidRPr="003722C1" w:rsidRDefault="003722C1" w:rsidP="003722C1">
            <w:pPr>
              <w:jc w:val="right"/>
              <w:rPr>
                <w:rFonts w:ascii="Arial" w:eastAsia="Times New Roman" w:hAnsi="Arial" w:cs="Arial"/>
                <w:color w:val="000000"/>
                <w:sz w:val="20"/>
                <w:szCs w:val="20"/>
              </w:rPr>
            </w:pPr>
            <w:r w:rsidRPr="003722C1">
              <w:rPr>
                <w:rFonts w:ascii="Arial" w:eastAsia="Times New Roman" w:hAnsi="Arial" w:cs="Arial"/>
                <w:color w:val="000000"/>
                <w:sz w:val="20"/>
                <w:szCs w:val="20"/>
              </w:rPr>
              <w:t>5.32%</w:t>
            </w:r>
          </w:p>
        </w:tc>
        <w:tc>
          <w:tcPr>
            <w:tcW w:w="1106" w:type="dxa"/>
            <w:tcBorders>
              <w:top w:val="nil"/>
              <w:left w:val="nil"/>
              <w:bottom w:val="single" w:sz="4" w:space="0" w:color="auto"/>
              <w:right w:val="single" w:sz="4" w:space="0" w:color="auto"/>
            </w:tcBorders>
            <w:shd w:val="clear" w:color="auto" w:fill="auto"/>
            <w:noWrap/>
            <w:vAlign w:val="bottom"/>
            <w:hideMark/>
          </w:tcPr>
          <w:p w14:paraId="146295F3" w14:textId="77777777" w:rsidR="003722C1" w:rsidRPr="003722C1" w:rsidRDefault="003722C1" w:rsidP="003722C1">
            <w:pPr>
              <w:jc w:val="right"/>
              <w:rPr>
                <w:rFonts w:ascii="Arial" w:eastAsia="Times New Roman" w:hAnsi="Arial" w:cs="Arial"/>
                <w:color w:val="000000"/>
                <w:sz w:val="20"/>
                <w:szCs w:val="20"/>
              </w:rPr>
            </w:pPr>
            <w:r w:rsidRPr="003722C1">
              <w:rPr>
                <w:rFonts w:ascii="Arial" w:eastAsia="Times New Roman" w:hAnsi="Arial" w:cs="Arial"/>
                <w:color w:val="000000"/>
                <w:sz w:val="20"/>
                <w:szCs w:val="20"/>
              </w:rPr>
              <w:t>3.09</w:t>
            </w:r>
          </w:p>
        </w:tc>
        <w:tc>
          <w:tcPr>
            <w:tcW w:w="1106" w:type="dxa"/>
            <w:tcBorders>
              <w:top w:val="nil"/>
              <w:left w:val="nil"/>
              <w:bottom w:val="single" w:sz="4" w:space="0" w:color="auto"/>
              <w:right w:val="single" w:sz="4" w:space="0" w:color="auto"/>
            </w:tcBorders>
            <w:shd w:val="clear" w:color="auto" w:fill="auto"/>
            <w:noWrap/>
            <w:vAlign w:val="bottom"/>
            <w:hideMark/>
          </w:tcPr>
          <w:p w14:paraId="251F4F64" w14:textId="77777777" w:rsidR="003722C1" w:rsidRPr="003722C1" w:rsidRDefault="003722C1" w:rsidP="003722C1">
            <w:pPr>
              <w:jc w:val="right"/>
              <w:rPr>
                <w:rFonts w:ascii="Arial" w:eastAsia="Times New Roman" w:hAnsi="Arial" w:cs="Arial"/>
                <w:color w:val="000000"/>
                <w:sz w:val="20"/>
                <w:szCs w:val="20"/>
              </w:rPr>
            </w:pPr>
            <w:r w:rsidRPr="003722C1">
              <w:rPr>
                <w:rFonts w:ascii="Arial" w:eastAsia="Times New Roman" w:hAnsi="Arial" w:cs="Arial"/>
                <w:color w:val="000000"/>
                <w:sz w:val="20"/>
                <w:szCs w:val="20"/>
              </w:rPr>
              <w:t>3.98%</w:t>
            </w:r>
          </w:p>
        </w:tc>
      </w:tr>
      <w:tr w:rsidR="003722C1" w:rsidRPr="003722C1" w14:paraId="3048E288" w14:textId="77777777" w:rsidTr="00606E28">
        <w:trPr>
          <w:trHeight w:val="255"/>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14:paraId="44C02323" w14:textId="77777777" w:rsidR="003722C1" w:rsidRPr="003722C1" w:rsidRDefault="003722C1" w:rsidP="003722C1">
            <w:pPr>
              <w:rPr>
                <w:rFonts w:ascii="Arial" w:eastAsia="Times New Roman" w:hAnsi="Arial" w:cs="Arial"/>
                <w:color w:val="000000"/>
                <w:sz w:val="20"/>
                <w:szCs w:val="20"/>
              </w:rPr>
            </w:pPr>
            <w:proofErr w:type="spellStart"/>
            <w:r w:rsidRPr="003722C1">
              <w:rPr>
                <w:rFonts w:ascii="Arial" w:eastAsia="Times New Roman" w:hAnsi="Arial" w:cs="Arial"/>
                <w:color w:val="000000"/>
                <w:sz w:val="20"/>
                <w:szCs w:val="20"/>
              </w:rPr>
              <w:t>panvir</w:t>
            </w:r>
            <w:proofErr w:type="spellEnd"/>
          </w:p>
        </w:tc>
        <w:tc>
          <w:tcPr>
            <w:tcW w:w="1960" w:type="dxa"/>
            <w:tcBorders>
              <w:top w:val="nil"/>
              <w:left w:val="nil"/>
              <w:bottom w:val="single" w:sz="4" w:space="0" w:color="auto"/>
              <w:right w:val="single" w:sz="4" w:space="0" w:color="auto"/>
            </w:tcBorders>
            <w:shd w:val="clear" w:color="auto" w:fill="auto"/>
            <w:noWrap/>
            <w:vAlign w:val="bottom"/>
            <w:hideMark/>
          </w:tcPr>
          <w:p w14:paraId="1A10CA63" w14:textId="77777777" w:rsidR="003722C1" w:rsidRPr="003722C1" w:rsidRDefault="003722C1" w:rsidP="003722C1">
            <w:pPr>
              <w:rPr>
                <w:rFonts w:ascii="Arial" w:eastAsia="Times New Roman" w:hAnsi="Arial" w:cs="Arial"/>
                <w:color w:val="000000"/>
                <w:sz w:val="20"/>
                <w:szCs w:val="20"/>
              </w:rPr>
            </w:pPr>
            <w:r w:rsidRPr="003722C1">
              <w:rPr>
                <w:rFonts w:ascii="Arial" w:eastAsia="Times New Roman" w:hAnsi="Arial" w:cs="Arial"/>
                <w:color w:val="000000"/>
                <w:sz w:val="20"/>
                <w:szCs w:val="20"/>
              </w:rPr>
              <w:t>Switchgrass</w:t>
            </w:r>
          </w:p>
        </w:tc>
        <w:tc>
          <w:tcPr>
            <w:tcW w:w="2800" w:type="dxa"/>
            <w:tcBorders>
              <w:top w:val="nil"/>
              <w:left w:val="nil"/>
              <w:bottom w:val="single" w:sz="4" w:space="0" w:color="auto"/>
              <w:right w:val="single" w:sz="4" w:space="0" w:color="auto"/>
            </w:tcBorders>
            <w:shd w:val="clear" w:color="000000" w:fill="A9D08E"/>
            <w:noWrap/>
            <w:vAlign w:val="bottom"/>
            <w:hideMark/>
          </w:tcPr>
          <w:p w14:paraId="1130F52F" w14:textId="77777777" w:rsidR="003722C1" w:rsidRPr="003722C1" w:rsidRDefault="003722C1" w:rsidP="003722C1">
            <w:pPr>
              <w:rPr>
                <w:rFonts w:ascii="Arial" w:eastAsia="Times New Roman" w:hAnsi="Arial" w:cs="Arial"/>
                <w:color w:val="000000"/>
                <w:sz w:val="20"/>
                <w:szCs w:val="20"/>
              </w:rPr>
            </w:pPr>
            <w:r w:rsidRPr="003722C1">
              <w:rPr>
                <w:rFonts w:ascii="Arial" w:eastAsia="Times New Roman" w:hAnsi="Arial" w:cs="Arial"/>
                <w:color w:val="000000"/>
                <w:sz w:val="20"/>
                <w:szCs w:val="20"/>
              </w:rPr>
              <w:t>Panicum virgatum</w:t>
            </w:r>
          </w:p>
        </w:tc>
        <w:tc>
          <w:tcPr>
            <w:tcW w:w="820" w:type="dxa"/>
            <w:tcBorders>
              <w:top w:val="nil"/>
              <w:left w:val="nil"/>
              <w:bottom w:val="single" w:sz="4" w:space="0" w:color="auto"/>
              <w:right w:val="single" w:sz="4" w:space="0" w:color="auto"/>
            </w:tcBorders>
            <w:shd w:val="clear" w:color="auto" w:fill="auto"/>
            <w:noWrap/>
            <w:vAlign w:val="bottom"/>
            <w:hideMark/>
          </w:tcPr>
          <w:p w14:paraId="1E3ACEEA" w14:textId="77777777" w:rsidR="003722C1" w:rsidRPr="003722C1" w:rsidRDefault="003722C1" w:rsidP="003722C1">
            <w:pPr>
              <w:jc w:val="right"/>
              <w:rPr>
                <w:rFonts w:ascii="Arial" w:eastAsia="Times New Roman" w:hAnsi="Arial" w:cs="Arial"/>
                <w:color w:val="000000"/>
                <w:sz w:val="20"/>
                <w:szCs w:val="20"/>
              </w:rPr>
            </w:pPr>
            <w:r w:rsidRPr="003722C1">
              <w:rPr>
                <w:rFonts w:ascii="Arial" w:eastAsia="Times New Roman" w:hAnsi="Arial" w:cs="Arial"/>
                <w:color w:val="000000"/>
                <w:sz w:val="20"/>
                <w:szCs w:val="20"/>
              </w:rPr>
              <w:t>1.00</w:t>
            </w:r>
          </w:p>
        </w:tc>
        <w:tc>
          <w:tcPr>
            <w:tcW w:w="1006" w:type="dxa"/>
            <w:tcBorders>
              <w:top w:val="nil"/>
              <w:left w:val="nil"/>
              <w:bottom w:val="single" w:sz="4" w:space="0" w:color="auto"/>
              <w:right w:val="single" w:sz="4" w:space="0" w:color="auto"/>
            </w:tcBorders>
            <w:shd w:val="clear" w:color="auto" w:fill="auto"/>
            <w:noWrap/>
            <w:vAlign w:val="bottom"/>
            <w:hideMark/>
          </w:tcPr>
          <w:p w14:paraId="51209B62" w14:textId="77777777" w:rsidR="003722C1" w:rsidRPr="003722C1" w:rsidRDefault="003722C1" w:rsidP="003722C1">
            <w:pPr>
              <w:jc w:val="right"/>
              <w:rPr>
                <w:rFonts w:ascii="Arial" w:eastAsia="Times New Roman" w:hAnsi="Arial" w:cs="Arial"/>
                <w:color w:val="000000"/>
                <w:sz w:val="20"/>
                <w:szCs w:val="20"/>
              </w:rPr>
            </w:pPr>
            <w:r w:rsidRPr="003722C1">
              <w:rPr>
                <w:rFonts w:ascii="Arial" w:eastAsia="Times New Roman" w:hAnsi="Arial" w:cs="Arial"/>
                <w:color w:val="000000"/>
                <w:sz w:val="20"/>
                <w:szCs w:val="20"/>
              </w:rPr>
              <w:t>2.66%</w:t>
            </w:r>
          </w:p>
        </w:tc>
        <w:tc>
          <w:tcPr>
            <w:tcW w:w="1106" w:type="dxa"/>
            <w:tcBorders>
              <w:top w:val="nil"/>
              <w:left w:val="nil"/>
              <w:bottom w:val="single" w:sz="4" w:space="0" w:color="auto"/>
              <w:right w:val="single" w:sz="4" w:space="0" w:color="auto"/>
            </w:tcBorders>
            <w:shd w:val="clear" w:color="auto" w:fill="auto"/>
            <w:noWrap/>
            <w:vAlign w:val="bottom"/>
            <w:hideMark/>
          </w:tcPr>
          <w:p w14:paraId="6AF5D72A" w14:textId="77777777" w:rsidR="003722C1" w:rsidRPr="003722C1" w:rsidRDefault="003722C1" w:rsidP="003722C1">
            <w:pPr>
              <w:jc w:val="right"/>
              <w:rPr>
                <w:rFonts w:ascii="Arial" w:eastAsia="Times New Roman" w:hAnsi="Arial" w:cs="Arial"/>
                <w:color w:val="000000"/>
                <w:sz w:val="20"/>
                <w:szCs w:val="20"/>
              </w:rPr>
            </w:pPr>
            <w:r w:rsidRPr="003722C1">
              <w:rPr>
                <w:rFonts w:ascii="Arial" w:eastAsia="Times New Roman" w:hAnsi="Arial" w:cs="Arial"/>
                <w:color w:val="000000"/>
                <w:sz w:val="20"/>
                <w:szCs w:val="20"/>
              </w:rPr>
              <w:t>5.14</w:t>
            </w:r>
          </w:p>
        </w:tc>
        <w:tc>
          <w:tcPr>
            <w:tcW w:w="1106" w:type="dxa"/>
            <w:tcBorders>
              <w:top w:val="nil"/>
              <w:left w:val="nil"/>
              <w:bottom w:val="single" w:sz="4" w:space="0" w:color="auto"/>
              <w:right w:val="single" w:sz="4" w:space="0" w:color="auto"/>
            </w:tcBorders>
            <w:shd w:val="clear" w:color="auto" w:fill="auto"/>
            <w:noWrap/>
            <w:vAlign w:val="bottom"/>
            <w:hideMark/>
          </w:tcPr>
          <w:p w14:paraId="744C5AEB" w14:textId="77777777" w:rsidR="003722C1" w:rsidRPr="003722C1" w:rsidRDefault="003722C1" w:rsidP="003722C1">
            <w:pPr>
              <w:jc w:val="right"/>
              <w:rPr>
                <w:rFonts w:ascii="Arial" w:eastAsia="Times New Roman" w:hAnsi="Arial" w:cs="Arial"/>
                <w:color w:val="000000"/>
                <w:sz w:val="20"/>
                <w:szCs w:val="20"/>
              </w:rPr>
            </w:pPr>
            <w:r w:rsidRPr="003722C1">
              <w:rPr>
                <w:rFonts w:ascii="Arial" w:eastAsia="Times New Roman" w:hAnsi="Arial" w:cs="Arial"/>
                <w:color w:val="000000"/>
                <w:sz w:val="20"/>
                <w:szCs w:val="20"/>
              </w:rPr>
              <w:t>6.63%</w:t>
            </w:r>
          </w:p>
        </w:tc>
      </w:tr>
      <w:tr w:rsidR="003722C1" w:rsidRPr="003722C1" w14:paraId="2B07FDCD" w14:textId="77777777" w:rsidTr="00606E28">
        <w:trPr>
          <w:trHeight w:val="255"/>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14:paraId="77274A4D" w14:textId="77777777" w:rsidR="003722C1" w:rsidRPr="003722C1" w:rsidRDefault="003722C1" w:rsidP="003722C1">
            <w:pPr>
              <w:rPr>
                <w:rFonts w:ascii="Arial" w:eastAsia="Times New Roman" w:hAnsi="Arial" w:cs="Arial"/>
                <w:color w:val="000000"/>
                <w:sz w:val="20"/>
                <w:szCs w:val="20"/>
              </w:rPr>
            </w:pPr>
            <w:proofErr w:type="spellStart"/>
            <w:r w:rsidRPr="003722C1">
              <w:rPr>
                <w:rFonts w:ascii="Arial" w:eastAsia="Times New Roman" w:hAnsi="Arial" w:cs="Arial"/>
                <w:color w:val="000000"/>
                <w:sz w:val="20"/>
                <w:szCs w:val="20"/>
              </w:rPr>
              <w:t>poapal</w:t>
            </w:r>
            <w:proofErr w:type="spellEnd"/>
          </w:p>
        </w:tc>
        <w:tc>
          <w:tcPr>
            <w:tcW w:w="1960" w:type="dxa"/>
            <w:tcBorders>
              <w:top w:val="nil"/>
              <w:left w:val="nil"/>
              <w:bottom w:val="single" w:sz="4" w:space="0" w:color="auto"/>
              <w:right w:val="single" w:sz="4" w:space="0" w:color="auto"/>
            </w:tcBorders>
            <w:shd w:val="clear" w:color="auto" w:fill="auto"/>
            <w:noWrap/>
            <w:vAlign w:val="bottom"/>
            <w:hideMark/>
          </w:tcPr>
          <w:p w14:paraId="395A7671" w14:textId="77777777" w:rsidR="003722C1" w:rsidRPr="003722C1" w:rsidRDefault="003722C1" w:rsidP="003722C1">
            <w:pPr>
              <w:rPr>
                <w:rFonts w:ascii="Arial" w:eastAsia="Times New Roman" w:hAnsi="Arial" w:cs="Arial"/>
                <w:color w:val="000000"/>
                <w:sz w:val="20"/>
                <w:szCs w:val="20"/>
              </w:rPr>
            </w:pPr>
            <w:r w:rsidRPr="003722C1">
              <w:rPr>
                <w:rFonts w:ascii="Arial" w:eastAsia="Times New Roman" w:hAnsi="Arial" w:cs="Arial"/>
                <w:color w:val="000000"/>
                <w:sz w:val="20"/>
                <w:szCs w:val="20"/>
              </w:rPr>
              <w:t>Fowl Bluegrass</w:t>
            </w:r>
          </w:p>
        </w:tc>
        <w:tc>
          <w:tcPr>
            <w:tcW w:w="2800" w:type="dxa"/>
            <w:tcBorders>
              <w:top w:val="nil"/>
              <w:left w:val="nil"/>
              <w:bottom w:val="single" w:sz="4" w:space="0" w:color="auto"/>
              <w:right w:val="single" w:sz="4" w:space="0" w:color="auto"/>
            </w:tcBorders>
            <w:shd w:val="clear" w:color="000000" w:fill="A9D08E"/>
            <w:noWrap/>
            <w:vAlign w:val="bottom"/>
            <w:hideMark/>
          </w:tcPr>
          <w:p w14:paraId="5E7E9A4D" w14:textId="77777777" w:rsidR="003722C1" w:rsidRPr="003722C1" w:rsidRDefault="003722C1" w:rsidP="003722C1">
            <w:pPr>
              <w:rPr>
                <w:rFonts w:ascii="Arial" w:eastAsia="Times New Roman" w:hAnsi="Arial" w:cs="Arial"/>
                <w:color w:val="000000"/>
                <w:sz w:val="20"/>
                <w:szCs w:val="20"/>
              </w:rPr>
            </w:pPr>
            <w:r w:rsidRPr="003722C1">
              <w:rPr>
                <w:rFonts w:ascii="Arial" w:eastAsia="Times New Roman" w:hAnsi="Arial" w:cs="Arial"/>
                <w:color w:val="000000"/>
                <w:sz w:val="20"/>
                <w:szCs w:val="20"/>
              </w:rPr>
              <w:t>Poa palustris</w:t>
            </w:r>
          </w:p>
        </w:tc>
        <w:tc>
          <w:tcPr>
            <w:tcW w:w="820" w:type="dxa"/>
            <w:tcBorders>
              <w:top w:val="nil"/>
              <w:left w:val="nil"/>
              <w:bottom w:val="single" w:sz="4" w:space="0" w:color="auto"/>
              <w:right w:val="single" w:sz="4" w:space="0" w:color="auto"/>
            </w:tcBorders>
            <w:shd w:val="clear" w:color="auto" w:fill="auto"/>
            <w:noWrap/>
            <w:vAlign w:val="bottom"/>
            <w:hideMark/>
          </w:tcPr>
          <w:p w14:paraId="39F2603A" w14:textId="77777777" w:rsidR="003722C1" w:rsidRPr="003722C1" w:rsidRDefault="003722C1" w:rsidP="003722C1">
            <w:pPr>
              <w:jc w:val="right"/>
              <w:rPr>
                <w:rFonts w:ascii="Arial" w:eastAsia="Times New Roman" w:hAnsi="Arial" w:cs="Arial"/>
                <w:color w:val="000000"/>
                <w:sz w:val="20"/>
                <w:szCs w:val="20"/>
              </w:rPr>
            </w:pPr>
            <w:r w:rsidRPr="003722C1">
              <w:rPr>
                <w:rFonts w:ascii="Arial" w:eastAsia="Times New Roman" w:hAnsi="Arial" w:cs="Arial"/>
                <w:color w:val="000000"/>
                <w:sz w:val="20"/>
                <w:szCs w:val="20"/>
              </w:rPr>
              <w:t>0.60</w:t>
            </w:r>
          </w:p>
        </w:tc>
        <w:tc>
          <w:tcPr>
            <w:tcW w:w="1006" w:type="dxa"/>
            <w:tcBorders>
              <w:top w:val="nil"/>
              <w:left w:val="nil"/>
              <w:bottom w:val="single" w:sz="4" w:space="0" w:color="auto"/>
              <w:right w:val="single" w:sz="4" w:space="0" w:color="auto"/>
            </w:tcBorders>
            <w:shd w:val="clear" w:color="auto" w:fill="auto"/>
            <w:noWrap/>
            <w:vAlign w:val="bottom"/>
            <w:hideMark/>
          </w:tcPr>
          <w:p w14:paraId="22626C43" w14:textId="77777777" w:rsidR="003722C1" w:rsidRPr="003722C1" w:rsidRDefault="003722C1" w:rsidP="003722C1">
            <w:pPr>
              <w:jc w:val="right"/>
              <w:rPr>
                <w:rFonts w:ascii="Arial" w:eastAsia="Times New Roman" w:hAnsi="Arial" w:cs="Arial"/>
                <w:color w:val="000000"/>
                <w:sz w:val="20"/>
                <w:szCs w:val="20"/>
              </w:rPr>
            </w:pPr>
            <w:r w:rsidRPr="003722C1">
              <w:rPr>
                <w:rFonts w:ascii="Arial" w:eastAsia="Times New Roman" w:hAnsi="Arial" w:cs="Arial"/>
                <w:color w:val="000000"/>
                <w:sz w:val="20"/>
                <w:szCs w:val="20"/>
              </w:rPr>
              <w:t>1.60%</w:t>
            </w:r>
          </w:p>
        </w:tc>
        <w:tc>
          <w:tcPr>
            <w:tcW w:w="1106" w:type="dxa"/>
            <w:tcBorders>
              <w:top w:val="nil"/>
              <w:left w:val="nil"/>
              <w:bottom w:val="single" w:sz="4" w:space="0" w:color="auto"/>
              <w:right w:val="single" w:sz="4" w:space="0" w:color="auto"/>
            </w:tcBorders>
            <w:shd w:val="clear" w:color="auto" w:fill="auto"/>
            <w:noWrap/>
            <w:vAlign w:val="bottom"/>
            <w:hideMark/>
          </w:tcPr>
          <w:p w14:paraId="34DFFBFD" w14:textId="77777777" w:rsidR="003722C1" w:rsidRPr="003722C1" w:rsidRDefault="003722C1" w:rsidP="003722C1">
            <w:pPr>
              <w:jc w:val="right"/>
              <w:rPr>
                <w:rFonts w:ascii="Arial" w:eastAsia="Times New Roman" w:hAnsi="Arial" w:cs="Arial"/>
                <w:color w:val="000000"/>
                <w:sz w:val="20"/>
                <w:szCs w:val="20"/>
              </w:rPr>
            </w:pPr>
            <w:r w:rsidRPr="003722C1">
              <w:rPr>
                <w:rFonts w:ascii="Arial" w:eastAsia="Times New Roman" w:hAnsi="Arial" w:cs="Arial"/>
                <w:color w:val="000000"/>
                <w:sz w:val="20"/>
                <w:szCs w:val="20"/>
              </w:rPr>
              <w:t>28.65</w:t>
            </w:r>
          </w:p>
        </w:tc>
        <w:tc>
          <w:tcPr>
            <w:tcW w:w="1106" w:type="dxa"/>
            <w:tcBorders>
              <w:top w:val="nil"/>
              <w:left w:val="nil"/>
              <w:bottom w:val="single" w:sz="4" w:space="0" w:color="auto"/>
              <w:right w:val="single" w:sz="4" w:space="0" w:color="auto"/>
            </w:tcBorders>
            <w:shd w:val="clear" w:color="auto" w:fill="auto"/>
            <w:noWrap/>
            <w:vAlign w:val="bottom"/>
            <w:hideMark/>
          </w:tcPr>
          <w:p w14:paraId="0FD2F4DA" w14:textId="77777777" w:rsidR="003722C1" w:rsidRPr="003722C1" w:rsidRDefault="003722C1" w:rsidP="003722C1">
            <w:pPr>
              <w:jc w:val="right"/>
              <w:rPr>
                <w:rFonts w:ascii="Arial" w:eastAsia="Times New Roman" w:hAnsi="Arial" w:cs="Arial"/>
                <w:color w:val="000000"/>
                <w:sz w:val="20"/>
                <w:szCs w:val="20"/>
              </w:rPr>
            </w:pPr>
            <w:r w:rsidRPr="003722C1">
              <w:rPr>
                <w:rFonts w:ascii="Arial" w:eastAsia="Times New Roman" w:hAnsi="Arial" w:cs="Arial"/>
                <w:color w:val="000000"/>
                <w:sz w:val="20"/>
                <w:szCs w:val="20"/>
              </w:rPr>
              <w:t>36.96%</w:t>
            </w:r>
          </w:p>
        </w:tc>
      </w:tr>
      <w:tr w:rsidR="003722C1" w:rsidRPr="003722C1" w14:paraId="528B39BD" w14:textId="77777777" w:rsidTr="00606E28">
        <w:trPr>
          <w:trHeight w:val="255"/>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14:paraId="6CA07A8F" w14:textId="77777777" w:rsidR="003722C1" w:rsidRPr="003722C1" w:rsidRDefault="003722C1" w:rsidP="003722C1">
            <w:pPr>
              <w:rPr>
                <w:rFonts w:ascii="Arial" w:eastAsia="Times New Roman" w:hAnsi="Arial" w:cs="Arial"/>
                <w:color w:val="000000"/>
                <w:sz w:val="20"/>
                <w:szCs w:val="20"/>
              </w:rPr>
            </w:pPr>
            <w:proofErr w:type="spellStart"/>
            <w:r w:rsidRPr="003722C1">
              <w:rPr>
                <w:rFonts w:ascii="Arial" w:eastAsia="Times New Roman" w:hAnsi="Arial" w:cs="Arial"/>
                <w:color w:val="000000"/>
                <w:sz w:val="20"/>
                <w:szCs w:val="20"/>
              </w:rPr>
              <w:t>sornut</w:t>
            </w:r>
            <w:proofErr w:type="spellEnd"/>
          </w:p>
        </w:tc>
        <w:tc>
          <w:tcPr>
            <w:tcW w:w="1960" w:type="dxa"/>
            <w:tcBorders>
              <w:top w:val="nil"/>
              <w:left w:val="nil"/>
              <w:bottom w:val="single" w:sz="4" w:space="0" w:color="auto"/>
              <w:right w:val="single" w:sz="4" w:space="0" w:color="auto"/>
            </w:tcBorders>
            <w:shd w:val="clear" w:color="auto" w:fill="auto"/>
            <w:noWrap/>
            <w:vAlign w:val="bottom"/>
            <w:hideMark/>
          </w:tcPr>
          <w:p w14:paraId="638ABF07" w14:textId="77777777" w:rsidR="003722C1" w:rsidRPr="003722C1" w:rsidRDefault="003722C1" w:rsidP="003722C1">
            <w:pPr>
              <w:rPr>
                <w:rFonts w:ascii="Arial" w:eastAsia="Times New Roman" w:hAnsi="Arial" w:cs="Arial"/>
                <w:color w:val="000000"/>
                <w:sz w:val="20"/>
                <w:szCs w:val="20"/>
              </w:rPr>
            </w:pPr>
            <w:r w:rsidRPr="003722C1">
              <w:rPr>
                <w:rFonts w:ascii="Arial" w:eastAsia="Times New Roman" w:hAnsi="Arial" w:cs="Arial"/>
                <w:color w:val="000000"/>
                <w:sz w:val="20"/>
                <w:szCs w:val="20"/>
              </w:rPr>
              <w:t>Indiangrass</w:t>
            </w:r>
          </w:p>
        </w:tc>
        <w:tc>
          <w:tcPr>
            <w:tcW w:w="2800" w:type="dxa"/>
            <w:tcBorders>
              <w:top w:val="nil"/>
              <w:left w:val="nil"/>
              <w:bottom w:val="single" w:sz="4" w:space="0" w:color="auto"/>
              <w:right w:val="single" w:sz="4" w:space="0" w:color="auto"/>
            </w:tcBorders>
            <w:shd w:val="clear" w:color="000000" w:fill="A9D08E"/>
            <w:noWrap/>
            <w:vAlign w:val="bottom"/>
            <w:hideMark/>
          </w:tcPr>
          <w:p w14:paraId="5CCF4BC7" w14:textId="77777777" w:rsidR="003722C1" w:rsidRPr="003722C1" w:rsidRDefault="003722C1" w:rsidP="003722C1">
            <w:pPr>
              <w:rPr>
                <w:rFonts w:ascii="Arial" w:eastAsia="Times New Roman" w:hAnsi="Arial" w:cs="Arial"/>
                <w:color w:val="000000"/>
                <w:sz w:val="20"/>
                <w:szCs w:val="20"/>
              </w:rPr>
            </w:pPr>
            <w:proofErr w:type="spellStart"/>
            <w:r w:rsidRPr="003722C1">
              <w:rPr>
                <w:rFonts w:ascii="Arial" w:eastAsia="Times New Roman" w:hAnsi="Arial" w:cs="Arial"/>
                <w:color w:val="000000"/>
                <w:sz w:val="20"/>
                <w:szCs w:val="20"/>
              </w:rPr>
              <w:t>Sorghastrum</w:t>
            </w:r>
            <w:proofErr w:type="spellEnd"/>
            <w:r w:rsidRPr="003722C1">
              <w:rPr>
                <w:rFonts w:ascii="Arial" w:eastAsia="Times New Roman" w:hAnsi="Arial" w:cs="Arial"/>
                <w:color w:val="000000"/>
                <w:sz w:val="20"/>
                <w:szCs w:val="20"/>
              </w:rPr>
              <w:t xml:space="preserve"> nutans</w:t>
            </w:r>
          </w:p>
        </w:tc>
        <w:tc>
          <w:tcPr>
            <w:tcW w:w="820" w:type="dxa"/>
            <w:tcBorders>
              <w:top w:val="nil"/>
              <w:left w:val="nil"/>
              <w:bottom w:val="single" w:sz="4" w:space="0" w:color="auto"/>
              <w:right w:val="single" w:sz="4" w:space="0" w:color="auto"/>
            </w:tcBorders>
            <w:shd w:val="clear" w:color="auto" w:fill="auto"/>
            <w:noWrap/>
            <w:vAlign w:val="bottom"/>
            <w:hideMark/>
          </w:tcPr>
          <w:p w14:paraId="179B0223" w14:textId="77777777" w:rsidR="003722C1" w:rsidRPr="003722C1" w:rsidRDefault="003722C1" w:rsidP="003722C1">
            <w:pPr>
              <w:jc w:val="right"/>
              <w:rPr>
                <w:rFonts w:ascii="Arial" w:eastAsia="Times New Roman" w:hAnsi="Arial" w:cs="Arial"/>
                <w:color w:val="000000"/>
                <w:sz w:val="20"/>
                <w:szCs w:val="20"/>
              </w:rPr>
            </w:pPr>
            <w:r w:rsidRPr="003722C1">
              <w:rPr>
                <w:rFonts w:ascii="Arial" w:eastAsia="Times New Roman" w:hAnsi="Arial" w:cs="Arial"/>
                <w:color w:val="000000"/>
                <w:sz w:val="20"/>
                <w:szCs w:val="20"/>
              </w:rPr>
              <w:t>1.00</w:t>
            </w:r>
          </w:p>
        </w:tc>
        <w:tc>
          <w:tcPr>
            <w:tcW w:w="1006" w:type="dxa"/>
            <w:tcBorders>
              <w:top w:val="nil"/>
              <w:left w:val="nil"/>
              <w:bottom w:val="single" w:sz="4" w:space="0" w:color="auto"/>
              <w:right w:val="single" w:sz="4" w:space="0" w:color="auto"/>
            </w:tcBorders>
            <w:shd w:val="clear" w:color="auto" w:fill="auto"/>
            <w:noWrap/>
            <w:vAlign w:val="bottom"/>
            <w:hideMark/>
          </w:tcPr>
          <w:p w14:paraId="30ADC152" w14:textId="77777777" w:rsidR="003722C1" w:rsidRPr="003722C1" w:rsidRDefault="003722C1" w:rsidP="003722C1">
            <w:pPr>
              <w:jc w:val="right"/>
              <w:rPr>
                <w:rFonts w:ascii="Arial" w:eastAsia="Times New Roman" w:hAnsi="Arial" w:cs="Arial"/>
                <w:color w:val="000000"/>
                <w:sz w:val="20"/>
                <w:szCs w:val="20"/>
              </w:rPr>
            </w:pPr>
            <w:r w:rsidRPr="003722C1">
              <w:rPr>
                <w:rFonts w:ascii="Arial" w:eastAsia="Times New Roman" w:hAnsi="Arial" w:cs="Arial"/>
                <w:color w:val="000000"/>
                <w:sz w:val="20"/>
                <w:szCs w:val="20"/>
              </w:rPr>
              <w:t>2.66%</w:t>
            </w:r>
          </w:p>
        </w:tc>
        <w:tc>
          <w:tcPr>
            <w:tcW w:w="1106" w:type="dxa"/>
            <w:tcBorders>
              <w:top w:val="nil"/>
              <w:left w:val="nil"/>
              <w:bottom w:val="single" w:sz="4" w:space="0" w:color="auto"/>
              <w:right w:val="single" w:sz="4" w:space="0" w:color="auto"/>
            </w:tcBorders>
            <w:shd w:val="clear" w:color="auto" w:fill="auto"/>
            <w:noWrap/>
            <w:vAlign w:val="bottom"/>
            <w:hideMark/>
          </w:tcPr>
          <w:p w14:paraId="14DE4101" w14:textId="77777777" w:rsidR="003722C1" w:rsidRPr="003722C1" w:rsidRDefault="003722C1" w:rsidP="003722C1">
            <w:pPr>
              <w:jc w:val="right"/>
              <w:rPr>
                <w:rFonts w:ascii="Arial" w:eastAsia="Times New Roman" w:hAnsi="Arial" w:cs="Arial"/>
                <w:color w:val="000000"/>
                <w:sz w:val="20"/>
                <w:szCs w:val="20"/>
              </w:rPr>
            </w:pPr>
            <w:r w:rsidRPr="003722C1">
              <w:rPr>
                <w:rFonts w:ascii="Arial" w:eastAsia="Times New Roman" w:hAnsi="Arial" w:cs="Arial"/>
                <w:color w:val="000000"/>
                <w:sz w:val="20"/>
                <w:szCs w:val="20"/>
              </w:rPr>
              <w:t>4.41</w:t>
            </w:r>
          </w:p>
        </w:tc>
        <w:tc>
          <w:tcPr>
            <w:tcW w:w="1106" w:type="dxa"/>
            <w:tcBorders>
              <w:top w:val="nil"/>
              <w:left w:val="nil"/>
              <w:bottom w:val="single" w:sz="4" w:space="0" w:color="auto"/>
              <w:right w:val="single" w:sz="4" w:space="0" w:color="auto"/>
            </w:tcBorders>
            <w:shd w:val="clear" w:color="auto" w:fill="auto"/>
            <w:noWrap/>
            <w:vAlign w:val="bottom"/>
            <w:hideMark/>
          </w:tcPr>
          <w:p w14:paraId="2D709184" w14:textId="77777777" w:rsidR="003722C1" w:rsidRPr="003722C1" w:rsidRDefault="003722C1" w:rsidP="003722C1">
            <w:pPr>
              <w:jc w:val="right"/>
              <w:rPr>
                <w:rFonts w:ascii="Arial" w:eastAsia="Times New Roman" w:hAnsi="Arial" w:cs="Arial"/>
                <w:color w:val="000000"/>
                <w:sz w:val="20"/>
                <w:szCs w:val="20"/>
              </w:rPr>
            </w:pPr>
            <w:r w:rsidRPr="003722C1">
              <w:rPr>
                <w:rFonts w:ascii="Arial" w:eastAsia="Times New Roman" w:hAnsi="Arial" w:cs="Arial"/>
                <w:color w:val="000000"/>
                <w:sz w:val="20"/>
                <w:szCs w:val="20"/>
              </w:rPr>
              <w:t>5.69%</w:t>
            </w:r>
          </w:p>
        </w:tc>
      </w:tr>
      <w:tr w:rsidR="003722C1" w:rsidRPr="003722C1" w14:paraId="1DBD5CE8" w14:textId="77777777" w:rsidTr="00606E28">
        <w:trPr>
          <w:trHeight w:val="255"/>
        </w:trPr>
        <w:tc>
          <w:tcPr>
            <w:tcW w:w="951" w:type="dxa"/>
            <w:tcBorders>
              <w:top w:val="nil"/>
              <w:left w:val="single" w:sz="4" w:space="0" w:color="auto"/>
              <w:bottom w:val="single" w:sz="4" w:space="0" w:color="auto"/>
              <w:right w:val="single" w:sz="4" w:space="0" w:color="auto"/>
            </w:tcBorders>
            <w:shd w:val="clear" w:color="000000" w:fill="9BC2E6"/>
            <w:noWrap/>
            <w:vAlign w:val="bottom"/>
            <w:hideMark/>
          </w:tcPr>
          <w:p w14:paraId="4232D7C2" w14:textId="77777777" w:rsidR="003722C1" w:rsidRPr="003722C1" w:rsidRDefault="003722C1" w:rsidP="003722C1">
            <w:pPr>
              <w:rPr>
                <w:rFonts w:ascii="Arial" w:eastAsia="Times New Roman" w:hAnsi="Arial" w:cs="Arial"/>
                <w:b/>
                <w:bCs/>
                <w:color w:val="000000"/>
                <w:sz w:val="20"/>
                <w:szCs w:val="20"/>
              </w:rPr>
            </w:pPr>
            <w:r w:rsidRPr="003722C1">
              <w:rPr>
                <w:rFonts w:ascii="Arial" w:eastAsia="Times New Roman" w:hAnsi="Arial" w:cs="Arial"/>
                <w:b/>
                <w:bCs/>
                <w:color w:val="000000"/>
                <w:sz w:val="20"/>
                <w:szCs w:val="20"/>
              </w:rPr>
              <w:t> </w:t>
            </w:r>
          </w:p>
        </w:tc>
        <w:tc>
          <w:tcPr>
            <w:tcW w:w="1960" w:type="dxa"/>
            <w:tcBorders>
              <w:top w:val="nil"/>
              <w:left w:val="nil"/>
              <w:bottom w:val="single" w:sz="4" w:space="0" w:color="auto"/>
              <w:right w:val="single" w:sz="4" w:space="0" w:color="auto"/>
            </w:tcBorders>
            <w:shd w:val="clear" w:color="000000" w:fill="9BC2E6"/>
            <w:noWrap/>
            <w:vAlign w:val="bottom"/>
            <w:hideMark/>
          </w:tcPr>
          <w:p w14:paraId="338C0DFC" w14:textId="77777777" w:rsidR="003722C1" w:rsidRPr="003722C1" w:rsidRDefault="003722C1" w:rsidP="003722C1">
            <w:pPr>
              <w:rPr>
                <w:rFonts w:ascii="Arial" w:eastAsia="Times New Roman" w:hAnsi="Arial" w:cs="Arial"/>
                <w:b/>
                <w:bCs/>
                <w:color w:val="000000"/>
                <w:sz w:val="20"/>
                <w:szCs w:val="20"/>
              </w:rPr>
            </w:pPr>
            <w:r w:rsidRPr="003722C1">
              <w:rPr>
                <w:rFonts w:ascii="Arial" w:eastAsia="Times New Roman" w:hAnsi="Arial" w:cs="Arial"/>
                <w:b/>
                <w:bCs/>
                <w:color w:val="000000"/>
                <w:sz w:val="20"/>
                <w:szCs w:val="20"/>
              </w:rPr>
              <w:t> </w:t>
            </w:r>
          </w:p>
        </w:tc>
        <w:tc>
          <w:tcPr>
            <w:tcW w:w="2800" w:type="dxa"/>
            <w:tcBorders>
              <w:top w:val="nil"/>
              <w:left w:val="nil"/>
              <w:bottom w:val="single" w:sz="4" w:space="0" w:color="auto"/>
              <w:right w:val="single" w:sz="4" w:space="0" w:color="auto"/>
            </w:tcBorders>
            <w:shd w:val="clear" w:color="000000" w:fill="9BC2E6"/>
            <w:noWrap/>
            <w:vAlign w:val="bottom"/>
            <w:hideMark/>
          </w:tcPr>
          <w:p w14:paraId="1F015497" w14:textId="77777777" w:rsidR="003722C1" w:rsidRPr="003722C1" w:rsidRDefault="003722C1" w:rsidP="003722C1">
            <w:pPr>
              <w:rPr>
                <w:rFonts w:ascii="Arial" w:eastAsia="Times New Roman" w:hAnsi="Arial" w:cs="Arial"/>
                <w:b/>
                <w:bCs/>
                <w:color w:val="000000"/>
                <w:sz w:val="20"/>
                <w:szCs w:val="20"/>
              </w:rPr>
            </w:pPr>
            <w:r w:rsidRPr="003722C1">
              <w:rPr>
                <w:rFonts w:ascii="Arial" w:eastAsia="Times New Roman" w:hAnsi="Arial" w:cs="Arial"/>
                <w:b/>
                <w:bCs/>
                <w:color w:val="000000"/>
                <w:sz w:val="20"/>
                <w:szCs w:val="20"/>
              </w:rPr>
              <w:t>Grasses Subtotal</w:t>
            </w:r>
          </w:p>
        </w:tc>
        <w:tc>
          <w:tcPr>
            <w:tcW w:w="820" w:type="dxa"/>
            <w:tcBorders>
              <w:top w:val="nil"/>
              <w:left w:val="nil"/>
              <w:bottom w:val="single" w:sz="4" w:space="0" w:color="auto"/>
              <w:right w:val="single" w:sz="4" w:space="0" w:color="auto"/>
            </w:tcBorders>
            <w:shd w:val="clear" w:color="000000" w:fill="9BC2E6"/>
            <w:noWrap/>
            <w:vAlign w:val="bottom"/>
            <w:hideMark/>
          </w:tcPr>
          <w:p w14:paraId="1116E8BE" w14:textId="77777777" w:rsidR="003722C1" w:rsidRPr="003722C1" w:rsidRDefault="003722C1" w:rsidP="003722C1">
            <w:pPr>
              <w:jc w:val="right"/>
              <w:rPr>
                <w:rFonts w:ascii="Arial" w:eastAsia="Times New Roman" w:hAnsi="Arial" w:cs="Arial"/>
                <w:b/>
                <w:bCs/>
                <w:color w:val="000000"/>
                <w:sz w:val="20"/>
                <w:szCs w:val="20"/>
              </w:rPr>
            </w:pPr>
            <w:r w:rsidRPr="003722C1">
              <w:rPr>
                <w:rFonts w:ascii="Arial" w:eastAsia="Times New Roman" w:hAnsi="Arial" w:cs="Arial"/>
                <w:b/>
                <w:bCs/>
                <w:color w:val="000000"/>
                <w:sz w:val="20"/>
                <w:szCs w:val="20"/>
              </w:rPr>
              <w:t>12.10</w:t>
            </w:r>
          </w:p>
        </w:tc>
        <w:tc>
          <w:tcPr>
            <w:tcW w:w="1006" w:type="dxa"/>
            <w:tcBorders>
              <w:top w:val="nil"/>
              <w:left w:val="nil"/>
              <w:bottom w:val="single" w:sz="4" w:space="0" w:color="auto"/>
              <w:right w:val="single" w:sz="4" w:space="0" w:color="auto"/>
            </w:tcBorders>
            <w:shd w:val="clear" w:color="000000" w:fill="9BC2E6"/>
            <w:noWrap/>
            <w:vAlign w:val="bottom"/>
            <w:hideMark/>
          </w:tcPr>
          <w:p w14:paraId="36EB8A3B" w14:textId="77777777" w:rsidR="003722C1" w:rsidRPr="003722C1" w:rsidRDefault="003722C1" w:rsidP="003722C1">
            <w:pPr>
              <w:jc w:val="right"/>
              <w:rPr>
                <w:rFonts w:ascii="Arial" w:eastAsia="Times New Roman" w:hAnsi="Arial" w:cs="Arial"/>
                <w:b/>
                <w:bCs/>
                <w:color w:val="000000"/>
                <w:sz w:val="20"/>
                <w:szCs w:val="20"/>
              </w:rPr>
            </w:pPr>
            <w:r w:rsidRPr="003722C1">
              <w:rPr>
                <w:rFonts w:ascii="Arial" w:eastAsia="Times New Roman" w:hAnsi="Arial" w:cs="Arial"/>
                <w:b/>
                <w:bCs/>
                <w:color w:val="000000"/>
                <w:sz w:val="20"/>
                <w:szCs w:val="20"/>
              </w:rPr>
              <w:t>32.18%</w:t>
            </w:r>
          </w:p>
        </w:tc>
        <w:tc>
          <w:tcPr>
            <w:tcW w:w="1106" w:type="dxa"/>
            <w:tcBorders>
              <w:top w:val="nil"/>
              <w:left w:val="nil"/>
              <w:bottom w:val="single" w:sz="4" w:space="0" w:color="auto"/>
              <w:right w:val="single" w:sz="4" w:space="0" w:color="auto"/>
            </w:tcBorders>
            <w:shd w:val="clear" w:color="000000" w:fill="9BC2E6"/>
            <w:noWrap/>
            <w:vAlign w:val="bottom"/>
            <w:hideMark/>
          </w:tcPr>
          <w:p w14:paraId="0522BEAC" w14:textId="77777777" w:rsidR="003722C1" w:rsidRPr="003722C1" w:rsidRDefault="003722C1" w:rsidP="003722C1">
            <w:pPr>
              <w:jc w:val="right"/>
              <w:rPr>
                <w:rFonts w:ascii="Arial" w:eastAsia="Times New Roman" w:hAnsi="Arial" w:cs="Arial"/>
                <w:b/>
                <w:bCs/>
                <w:color w:val="000000"/>
                <w:sz w:val="20"/>
                <w:szCs w:val="20"/>
              </w:rPr>
            </w:pPr>
            <w:r w:rsidRPr="003722C1">
              <w:rPr>
                <w:rFonts w:ascii="Arial" w:eastAsia="Times New Roman" w:hAnsi="Arial" w:cs="Arial"/>
                <w:b/>
                <w:bCs/>
                <w:color w:val="000000"/>
                <w:sz w:val="20"/>
                <w:szCs w:val="20"/>
              </w:rPr>
              <w:t>61.89</w:t>
            </w:r>
          </w:p>
        </w:tc>
        <w:tc>
          <w:tcPr>
            <w:tcW w:w="1106" w:type="dxa"/>
            <w:tcBorders>
              <w:top w:val="nil"/>
              <w:left w:val="nil"/>
              <w:bottom w:val="single" w:sz="4" w:space="0" w:color="auto"/>
              <w:right w:val="single" w:sz="4" w:space="0" w:color="auto"/>
            </w:tcBorders>
            <w:shd w:val="clear" w:color="000000" w:fill="9BC2E6"/>
            <w:noWrap/>
            <w:vAlign w:val="bottom"/>
            <w:hideMark/>
          </w:tcPr>
          <w:p w14:paraId="20F979AB" w14:textId="77777777" w:rsidR="003722C1" w:rsidRPr="003722C1" w:rsidRDefault="003722C1" w:rsidP="003722C1">
            <w:pPr>
              <w:jc w:val="right"/>
              <w:rPr>
                <w:rFonts w:ascii="Arial" w:eastAsia="Times New Roman" w:hAnsi="Arial" w:cs="Arial"/>
                <w:b/>
                <w:bCs/>
                <w:color w:val="000000"/>
                <w:sz w:val="20"/>
                <w:szCs w:val="20"/>
              </w:rPr>
            </w:pPr>
            <w:r w:rsidRPr="003722C1">
              <w:rPr>
                <w:rFonts w:ascii="Arial" w:eastAsia="Times New Roman" w:hAnsi="Arial" w:cs="Arial"/>
                <w:b/>
                <w:bCs/>
                <w:color w:val="000000"/>
                <w:sz w:val="20"/>
                <w:szCs w:val="20"/>
              </w:rPr>
              <w:t>79.85%</w:t>
            </w:r>
          </w:p>
        </w:tc>
      </w:tr>
      <w:tr w:rsidR="003722C1" w:rsidRPr="003722C1" w14:paraId="65DEC7DB" w14:textId="77777777" w:rsidTr="00606E28">
        <w:trPr>
          <w:trHeight w:val="255"/>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14:paraId="04A1E436" w14:textId="77777777" w:rsidR="003722C1" w:rsidRPr="003722C1" w:rsidRDefault="003722C1" w:rsidP="003722C1">
            <w:pPr>
              <w:rPr>
                <w:rFonts w:ascii="Arial" w:eastAsia="Times New Roman" w:hAnsi="Arial" w:cs="Arial"/>
                <w:color w:val="000000"/>
                <w:sz w:val="20"/>
                <w:szCs w:val="20"/>
              </w:rPr>
            </w:pPr>
            <w:proofErr w:type="spellStart"/>
            <w:r w:rsidRPr="003722C1">
              <w:rPr>
                <w:rFonts w:ascii="Arial" w:eastAsia="Times New Roman" w:hAnsi="Arial" w:cs="Arial"/>
                <w:color w:val="000000"/>
                <w:sz w:val="20"/>
                <w:szCs w:val="20"/>
              </w:rPr>
              <w:t>chafas</w:t>
            </w:r>
            <w:proofErr w:type="spellEnd"/>
          </w:p>
        </w:tc>
        <w:tc>
          <w:tcPr>
            <w:tcW w:w="1960" w:type="dxa"/>
            <w:tcBorders>
              <w:top w:val="nil"/>
              <w:left w:val="nil"/>
              <w:bottom w:val="single" w:sz="4" w:space="0" w:color="auto"/>
              <w:right w:val="single" w:sz="4" w:space="0" w:color="auto"/>
            </w:tcBorders>
            <w:shd w:val="clear" w:color="auto" w:fill="auto"/>
            <w:noWrap/>
            <w:vAlign w:val="bottom"/>
            <w:hideMark/>
          </w:tcPr>
          <w:p w14:paraId="51BC9A5F" w14:textId="77777777" w:rsidR="003722C1" w:rsidRPr="003722C1" w:rsidRDefault="003722C1" w:rsidP="003722C1">
            <w:pPr>
              <w:rPr>
                <w:rFonts w:ascii="Arial" w:eastAsia="Times New Roman" w:hAnsi="Arial" w:cs="Arial"/>
                <w:color w:val="000000"/>
                <w:sz w:val="20"/>
                <w:szCs w:val="20"/>
              </w:rPr>
            </w:pPr>
            <w:r w:rsidRPr="003722C1">
              <w:rPr>
                <w:rFonts w:ascii="Arial" w:eastAsia="Times New Roman" w:hAnsi="Arial" w:cs="Arial"/>
                <w:color w:val="000000"/>
                <w:sz w:val="20"/>
                <w:szCs w:val="20"/>
              </w:rPr>
              <w:t>Partridge Pea</w:t>
            </w:r>
          </w:p>
        </w:tc>
        <w:tc>
          <w:tcPr>
            <w:tcW w:w="2800" w:type="dxa"/>
            <w:tcBorders>
              <w:top w:val="nil"/>
              <w:left w:val="nil"/>
              <w:bottom w:val="single" w:sz="4" w:space="0" w:color="auto"/>
              <w:right w:val="single" w:sz="4" w:space="0" w:color="auto"/>
            </w:tcBorders>
            <w:shd w:val="clear" w:color="000000" w:fill="A9D08E"/>
            <w:noWrap/>
            <w:vAlign w:val="bottom"/>
            <w:hideMark/>
          </w:tcPr>
          <w:p w14:paraId="4B7B158A" w14:textId="77777777" w:rsidR="003722C1" w:rsidRPr="003722C1" w:rsidRDefault="003722C1" w:rsidP="003722C1">
            <w:pPr>
              <w:rPr>
                <w:rFonts w:ascii="Arial" w:eastAsia="Times New Roman" w:hAnsi="Arial" w:cs="Arial"/>
                <w:color w:val="000000"/>
                <w:sz w:val="20"/>
                <w:szCs w:val="20"/>
              </w:rPr>
            </w:pPr>
            <w:proofErr w:type="spellStart"/>
            <w:r w:rsidRPr="003722C1">
              <w:rPr>
                <w:rFonts w:ascii="Arial" w:eastAsia="Times New Roman" w:hAnsi="Arial" w:cs="Arial"/>
                <w:color w:val="000000"/>
                <w:sz w:val="20"/>
                <w:szCs w:val="20"/>
              </w:rPr>
              <w:t>Chamaecrista</w:t>
            </w:r>
            <w:proofErr w:type="spellEnd"/>
            <w:r w:rsidRPr="003722C1">
              <w:rPr>
                <w:rFonts w:ascii="Arial" w:eastAsia="Times New Roman" w:hAnsi="Arial" w:cs="Arial"/>
                <w:color w:val="000000"/>
                <w:sz w:val="20"/>
                <w:szCs w:val="20"/>
              </w:rPr>
              <w:t xml:space="preserve"> fasciculata</w:t>
            </w:r>
          </w:p>
        </w:tc>
        <w:tc>
          <w:tcPr>
            <w:tcW w:w="820" w:type="dxa"/>
            <w:tcBorders>
              <w:top w:val="nil"/>
              <w:left w:val="nil"/>
              <w:bottom w:val="single" w:sz="4" w:space="0" w:color="auto"/>
              <w:right w:val="single" w:sz="4" w:space="0" w:color="auto"/>
            </w:tcBorders>
            <w:shd w:val="clear" w:color="auto" w:fill="auto"/>
            <w:noWrap/>
            <w:vAlign w:val="bottom"/>
            <w:hideMark/>
          </w:tcPr>
          <w:p w14:paraId="4BF61F9B" w14:textId="77777777" w:rsidR="003722C1" w:rsidRPr="003722C1" w:rsidRDefault="003722C1" w:rsidP="003722C1">
            <w:pPr>
              <w:jc w:val="right"/>
              <w:rPr>
                <w:rFonts w:ascii="Arial" w:eastAsia="Times New Roman" w:hAnsi="Arial" w:cs="Arial"/>
                <w:color w:val="000000"/>
                <w:sz w:val="20"/>
                <w:szCs w:val="20"/>
              </w:rPr>
            </w:pPr>
            <w:r w:rsidRPr="003722C1">
              <w:rPr>
                <w:rFonts w:ascii="Arial" w:eastAsia="Times New Roman" w:hAnsi="Arial" w:cs="Arial"/>
                <w:color w:val="000000"/>
                <w:sz w:val="20"/>
                <w:szCs w:val="20"/>
              </w:rPr>
              <w:t>0.27</w:t>
            </w:r>
          </w:p>
        </w:tc>
        <w:tc>
          <w:tcPr>
            <w:tcW w:w="1006" w:type="dxa"/>
            <w:tcBorders>
              <w:top w:val="nil"/>
              <w:left w:val="nil"/>
              <w:bottom w:val="single" w:sz="4" w:space="0" w:color="auto"/>
              <w:right w:val="single" w:sz="4" w:space="0" w:color="auto"/>
            </w:tcBorders>
            <w:shd w:val="clear" w:color="auto" w:fill="auto"/>
            <w:noWrap/>
            <w:vAlign w:val="bottom"/>
            <w:hideMark/>
          </w:tcPr>
          <w:p w14:paraId="3C275A4C" w14:textId="77777777" w:rsidR="003722C1" w:rsidRPr="003722C1" w:rsidRDefault="003722C1" w:rsidP="003722C1">
            <w:pPr>
              <w:jc w:val="right"/>
              <w:rPr>
                <w:rFonts w:ascii="Arial" w:eastAsia="Times New Roman" w:hAnsi="Arial" w:cs="Arial"/>
                <w:color w:val="000000"/>
                <w:sz w:val="20"/>
                <w:szCs w:val="20"/>
              </w:rPr>
            </w:pPr>
            <w:r w:rsidRPr="003722C1">
              <w:rPr>
                <w:rFonts w:ascii="Arial" w:eastAsia="Times New Roman" w:hAnsi="Arial" w:cs="Arial"/>
                <w:color w:val="000000"/>
                <w:sz w:val="20"/>
                <w:szCs w:val="20"/>
              </w:rPr>
              <w:t>0.72%</w:t>
            </w:r>
          </w:p>
        </w:tc>
        <w:tc>
          <w:tcPr>
            <w:tcW w:w="1106" w:type="dxa"/>
            <w:tcBorders>
              <w:top w:val="nil"/>
              <w:left w:val="nil"/>
              <w:bottom w:val="single" w:sz="4" w:space="0" w:color="auto"/>
              <w:right w:val="single" w:sz="4" w:space="0" w:color="auto"/>
            </w:tcBorders>
            <w:shd w:val="clear" w:color="auto" w:fill="auto"/>
            <w:noWrap/>
            <w:vAlign w:val="bottom"/>
            <w:hideMark/>
          </w:tcPr>
          <w:p w14:paraId="4CBFD90B" w14:textId="77777777" w:rsidR="003722C1" w:rsidRPr="003722C1" w:rsidRDefault="003722C1" w:rsidP="003722C1">
            <w:pPr>
              <w:jc w:val="right"/>
              <w:rPr>
                <w:rFonts w:ascii="Arial" w:eastAsia="Times New Roman" w:hAnsi="Arial" w:cs="Arial"/>
                <w:color w:val="000000"/>
                <w:sz w:val="20"/>
                <w:szCs w:val="20"/>
              </w:rPr>
            </w:pPr>
            <w:r w:rsidRPr="003722C1">
              <w:rPr>
                <w:rFonts w:ascii="Arial" w:eastAsia="Times New Roman" w:hAnsi="Arial" w:cs="Arial"/>
                <w:color w:val="000000"/>
                <w:sz w:val="20"/>
                <w:szCs w:val="20"/>
              </w:rPr>
              <w:t>0.27</w:t>
            </w:r>
          </w:p>
        </w:tc>
        <w:tc>
          <w:tcPr>
            <w:tcW w:w="1106" w:type="dxa"/>
            <w:tcBorders>
              <w:top w:val="nil"/>
              <w:left w:val="nil"/>
              <w:bottom w:val="single" w:sz="4" w:space="0" w:color="auto"/>
              <w:right w:val="single" w:sz="4" w:space="0" w:color="auto"/>
            </w:tcBorders>
            <w:shd w:val="clear" w:color="auto" w:fill="auto"/>
            <w:noWrap/>
            <w:vAlign w:val="bottom"/>
            <w:hideMark/>
          </w:tcPr>
          <w:p w14:paraId="76F6671D" w14:textId="77777777" w:rsidR="003722C1" w:rsidRPr="003722C1" w:rsidRDefault="003722C1" w:rsidP="003722C1">
            <w:pPr>
              <w:jc w:val="right"/>
              <w:rPr>
                <w:rFonts w:ascii="Arial" w:eastAsia="Times New Roman" w:hAnsi="Arial" w:cs="Arial"/>
                <w:color w:val="000000"/>
                <w:sz w:val="20"/>
                <w:szCs w:val="20"/>
              </w:rPr>
            </w:pPr>
            <w:r w:rsidRPr="003722C1">
              <w:rPr>
                <w:rFonts w:ascii="Arial" w:eastAsia="Times New Roman" w:hAnsi="Arial" w:cs="Arial"/>
                <w:color w:val="000000"/>
                <w:sz w:val="20"/>
                <w:szCs w:val="20"/>
              </w:rPr>
              <w:t>0.35%</w:t>
            </w:r>
          </w:p>
        </w:tc>
      </w:tr>
      <w:tr w:rsidR="003722C1" w:rsidRPr="003722C1" w14:paraId="245B790F" w14:textId="77777777" w:rsidTr="00606E28">
        <w:trPr>
          <w:trHeight w:val="255"/>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14:paraId="2EA6145F" w14:textId="77777777" w:rsidR="003722C1" w:rsidRPr="003722C1" w:rsidRDefault="003722C1" w:rsidP="003722C1">
            <w:pPr>
              <w:rPr>
                <w:rFonts w:ascii="Arial" w:eastAsia="Times New Roman" w:hAnsi="Arial" w:cs="Arial"/>
                <w:color w:val="000000"/>
                <w:sz w:val="20"/>
                <w:szCs w:val="20"/>
              </w:rPr>
            </w:pPr>
            <w:proofErr w:type="spellStart"/>
            <w:r w:rsidRPr="003722C1">
              <w:rPr>
                <w:rFonts w:ascii="Arial" w:eastAsia="Times New Roman" w:hAnsi="Arial" w:cs="Arial"/>
                <w:color w:val="000000"/>
                <w:sz w:val="20"/>
                <w:szCs w:val="20"/>
              </w:rPr>
              <w:t>descan</w:t>
            </w:r>
            <w:proofErr w:type="spellEnd"/>
          </w:p>
        </w:tc>
        <w:tc>
          <w:tcPr>
            <w:tcW w:w="1960" w:type="dxa"/>
            <w:tcBorders>
              <w:top w:val="nil"/>
              <w:left w:val="nil"/>
              <w:bottom w:val="single" w:sz="4" w:space="0" w:color="auto"/>
              <w:right w:val="single" w:sz="4" w:space="0" w:color="auto"/>
            </w:tcBorders>
            <w:shd w:val="clear" w:color="auto" w:fill="auto"/>
            <w:noWrap/>
            <w:vAlign w:val="bottom"/>
            <w:hideMark/>
          </w:tcPr>
          <w:p w14:paraId="346844FF" w14:textId="77777777" w:rsidR="003722C1" w:rsidRPr="003722C1" w:rsidRDefault="003722C1" w:rsidP="003722C1">
            <w:pPr>
              <w:rPr>
                <w:rFonts w:ascii="Arial" w:eastAsia="Times New Roman" w:hAnsi="Arial" w:cs="Arial"/>
                <w:color w:val="000000"/>
                <w:sz w:val="20"/>
                <w:szCs w:val="20"/>
              </w:rPr>
            </w:pPr>
            <w:r w:rsidRPr="003722C1">
              <w:rPr>
                <w:rFonts w:ascii="Arial" w:eastAsia="Times New Roman" w:hAnsi="Arial" w:cs="Arial"/>
                <w:color w:val="000000"/>
                <w:sz w:val="20"/>
                <w:szCs w:val="20"/>
              </w:rPr>
              <w:t>Showy Tick Trefoil</w:t>
            </w:r>
          </w:p>
        </w:tc>
        <w:tc>
          <w:tcPr>
            <w:tcW w:w="2800" w:type="dxa"/>
            <w:tcBorders>
              <w:top w:val="nil"/>
              <w:left w:val="nil"/>
              <w:bottom w:val="single" w:sz="4" w:space="0" w:color="auto"/>
              <w:right w:val="single" w:sz="4" w:space="0" w:color="auto"/>
            </w:tcBorders>
            <w:shd w:val="clear" w:color="000000" w:fill="A9D08E"/>
            <w:noWrap/>
            <w:vAlign w:val="bottom"/>
            <w:hideMark/>
          </w:tcPr>
          <w:p w14:paraId="1F2BC53A" w14:textId="77777777" w:rsidR="003722C1" w:rsidRPr="003722C1" w:rsidRDefault="003722C1" w:rsidP="003722C1">
            <w:pPr>
              <w:rPr>
                <w:rFonts w:ascii="Arial" w:eastAsia="Times New Roman" w:hAnsi="Arial" w:cs="Arial"/>
                <w:color w:val="000000"/>
                <w:sz w:val="20"/>
                <w:szCs w:val="20"/>
              </w:rPr>
            </w:pPr>
            <w:proofErr w:type="spellStart"/>
            <w:r w:rsidRPr="003722C1">
              <w:rPr>
                <w:rFonts w:ascii="Arial" w:eastAsia="Times New Roman" w:hAnsi="Arial" w:cs="Arial"/>
                <w:color w:val="000000"/>
                <w:sz w:val="20"/>
                <w:szCs w:val="20"/>
              </w:rPr>
              <w:t>Desmodium</w:t>
            </w:r>
            <w:proofErr w:type="spellEnd"/>
            <w:r w:rsidRPr="003722C1">
              <w:rPr>
                <w:rFonts w:ascii="Arial" w:eastAsia="Times New Roman" w:hAnsi="Arial" w:cs="Arial"/>
                <w:color w:val="000000"/>
                <w:sz w:val="20"/>
                <w:szCs w:val="20"/>
              </w:rPr>
              <w:t xml:space="preserve"> canadense</w:t>
            </w:r>
          </w:p>
        </w:tc>
        <w:tc>
          <w:tcPr>
            <w:tcW w:w="820" w:type="dxa"/>
            <w:tcBorders>
              <w:top w:val="nil"/>
              <w:left w:val="nil"/>
              <w:bottom w:val="single" w:sz="4" w:space="0" w:color="auto"/>
              <w:right w:val="single" w:sz="4" w:space="0" w:color="auto"/>
            </w:tcBorders>
            <w:shd w:val="clear" w:color="auto" w:fill="auto"/>
            <w:noWrap/>
            <w:vAlign w:val="bottom"/>
            <w:hideMark/>
          </w:tcPr>
          <w:p w14:paraId="6D3A0CB2" w14:textId="77777777" w:rsidR="003722C1" w:rsidRPr="003722C1" w:rsidRDefault="003722C1" w:rsidP="003722C1">
            <w:pPr>
              <w:jc w:val="right"/>
              <w:rPr>
                <w:rFonts w:ascii="Arial" w:eastAsia="Times New Roman" w:hAnsi="Arial" w:cs="Arial"/>
                <w:color w:val="000000"/>
                <w:sz w:val="20"/>
                <w:szCs w:val="20"/>
              </w:rPr>
            </w:pPr>
            <w:r w:rsidRPr="003722C1">
              <w:rPr>
                <w:rFonts w:ascii="Arial" w:eastAsia="Times New Roman" w:hAnsi="Arial" w:cs="Arial"/>
                <w:color w:val="000000"/>
                <w:sz w:val="20"/>
                <w:szCs w:val="20"/>
              </w:rPr>
              <w:t>0.07</w:t>
            </w:r>
          </w:p>
        </w:tc>
        <w:tc>
          <w:tcPr>
            <w:tcW w:w="1006" w:type="dxa"/>
            <w:tcBorders>
              <w:top w:val="nil"/>
              <w:left w:val="nil"/>
              <w:bottom w:val="single" w:sz="4" w:space="0" w:color="auto"/>
              <w:right w:val="single" w:sz="4" w:space="0" w:color="auto"/>
            </w:tcBorders>
            <w:shd w:val="clear" w:color="auto" w:fill="auto"/>
            <w:noWrap/>
            <w:vAlign w:val="bottom"/>
            <w:hideMark/>
          </w:tcPr>
          <w:p w14:paraId="67060591" w14:textId="77777777" w:rsidR="003722C1" w:rsidRPr="003722C1" w:rsidRDefault="003722C1" w:rsidP="003722C1">
            <w:pPr>
              <w:jc w:val="right"/>
              <w:rPr>
                <w:rFonts w:ascii="Arial" w:eastAsia="Times New Roman" w:hAnsi="Arial" w:cs="Arial"/>
                <w:color w:val="000000"/>
                <w:sz w:val="20"/>
                <w:szCs w:val="20"/>
              </w:rPr>
            </w:pPr>
            <w:r w:rsidRPr="003722C1">
              <w:rPr>
                <w:rFonts w:ascii="Arial" w:eastAsia="Times New Roman" w:hAnsi="Arial" w:cs="Arial"/>
                <w:color w:val="000000"/>
                <w:sz w:val="20"/>
                <w:szCs w:val="20"/>
              </w:rPr>
              <w:t>0.19%</w:t>
            </w:r>
          </w:p>
        </w:tc>
        <w:tc>
          <w:tcPr>
            <w:tcW w:w="1106" w:type="dxa"/>
            <w:tcBorders>
              <w:top w:val="nil"/>
              <w:left w:val="nil"/>
              <w:bottom w:val="single" w:sz="4" w:space="0" w:color="auto"/>
              <w:right w:val="single" w:sz="4" w:space="0" w:color="auto"/>
            </w:tcBorders>
            <w:shd w:val="clear" w:color="auto" w:fill="auto"/>
            <w:noWrap/>
            <w:vAlign w:val="bottom"/>
            <w:hideMark/>
          </w:tcPr>
          <w:p w14:paraId="6D108415" w14:textId="77777777" w:rsidR="003722C1" w:rsidRPr="003722C1" w:rsidRDefault="003722C1" w:rsidP="003722C1">
            <w:pPr>
              <w:jc w:val="right"/>
              <w:rPr>
                <w:rFonts w:ascii="Arial" w:eastAsia="Times New Roman" w:hAnsi="Arial" w:cs="Arial"/>
                <w:color w:val="000000"/>
                <w:sz w:val="20"/>
                <w:szCs w:val="20"/>
              </w:rPr>
            </w:pPr>
            <w:r w:rsidRPr="003722C1">
              <w:rPr>
                <w:rFonts w:ascii="Arial" w:eastAsia="Times New Roman" w:hAnsi="Arial" w:cs="Arial"/>
                <w:color w:val="000000"/>
                <w:sz w:val="20"/>
                <w:szCs w:val="20"/>
              </w:rPr>
              <w:t>0.14</w:t>
            </w:r>
          </w:p>
        </w:tc>
        <w:tc>
          <w:tcPr>
            <w:tcW w:w="1106" w:type="dxa"/>
            <w:tcBorders>
              <w:top w:val="nil"/>
              <w:left w:val="nil"/>
              <w:bottom w:val="single" w:sz="4" w:space="0" w:color="auto"/>
              <w:right w:val="single" w:sz="4" w:space="0" w:color="auto"/>
            </w:tcBorders>
            <w:shd w:val="clear" w:color="auto" w:fill="auto"/>
            <w:noWrap/>
            <w:vAlign w:val="bottom"/>
            <w:hideMark/>
          </w:tcPr>
          <w:p w14:paraId="2DA815DD" w14:textId="77777777" w:rsidR="003722C1" w:rsidRPr="003722C1" w:rsidRDefault="003722C1" w:rsidP="003722C1">
            <w:pPr>
              <w:jc w:val="right"/>
              <w:rPr>
                <w:rFonts w:ascii="Arial" w:eastAsia="Times New Roman" w:hAnsi="Arial" w:cs="Arial"/>
                <w:color w:val="000000"/>
                <w:sz w:val="20"/>
                <w:szCs w:val="20"/>
              </w:rPr>
            </w:pPr>
            <w:r w:rsidRPr="003722C1">
              <w:rPr>
                <w:rFonts w:ascii="Arial" w:eastAsia="Times New Roman" w:hAnsi="Arial" w:cs="Arial"/>
                <w:color w:val="000000"/>
                <w:sz w:val="20"/>
                <w:szCs w:val="20"/>
              </w:rPr>
              <w:t>0.18%</w:t>
            </w:r>
          </w:p>
        </w:tc>
      </w:tr>
      <w:tr w:rsidR="003722C1" w:rsidRPr="003722C1" w14:paraId="6A2D0E67" w14:textId="77777777" w:rsidTr="00606E28">
        <w:trPr>
          <w:trHeight w:val="255"/>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14:paraId="643FE9A5" w14:textId="77777777" w:rsidR="003722C1" w:rsidRPr="003722C1" w:rsidRDefault="003722C1" w:rsidP="003722C1">
            <w:pPr>
              <w:rPr>
                <w:rFonts w:ascii="Arial" w:eastAsia="Times New Roman" w:hAnsi="Arial" w:cs="Arial"/>
                <w:color w:val="000000"/>
                <w:sz w:val="20"/>
                <w:szCs w:val="20"/>
              </w:rPr>
            </w:pPr>
            <w:proofErr w:type="spellStart"/>
            <w:r w:rsidRPr="003722C1">
              <w:rPr>
                <w:rFonts w:ascii="Arial" w:eastAsia="Times New Roman" w:hAnsi="Arial" w:cs="Arial"/>
                <w:color w:val="000000"/>
                <w:sz w:val="20"/>
                <w:szCs w:val="20"/>
              </w:rPr>
              <w:t>monfis</w:t>
            </w:r>
            <w:proofErr w:type="spellEnd"/>
          </w:p>
        </w:tc>
        <w:tc>
          <w:tcPr>
            <w:tcW w:w="1960" w:type="dxa"/>
            <w:tcBorders>
              <w:top w:val="nil"/>
              <w:left w:val="nil"/>
              <w:bottom w:val="single" w:sz="4" w:space="0" w:color="auto"/>
              <w:right w:val="single" w:sz="4" w:space="0" w:color="auto"/>
            </w:tcBorders>
            <w:shd w:val="clear" w:color="auto" w:fill="auto"/>
            <w:noWrap/>
            <w:vAlign w:val="bottom"/>
            <w:hideMark/>
          </w:tcPr>
          <w:p w14:paraId="02F35DCD" w14:textId="77777777" w:rsidR="003722C1" w:rsidRPr="003722C1" w:rsidRDefault="003722C1" w:rsidP="003722C1">
            <w:pPr>
              <w:rPr>
                <w:rFonts w:ascii="Arial" w:eastAsia="Times New Roman" w:hAnsi="Arial" w:cs="Arial"/>
                <w:color w:val="000000"/>
                <w:sz w:val="20"/>
                <w:szCs w:val="20"/>
              </w:rPr>
            </w:pPr>
            <w:r w:rsidRPr="003722C1">
              <w:rPr>
                <w:rFonts w:ascii="Arial" w:eastAsia="Times New Roman" w:hAnsi="Arial" w:cs="Arial"/>
                <w:color w:val="000000"/>
                <w:sz w:val="20"/>
                <w:szCs w:val="20"/>
              </w:rPr>
              <w:t>Wild Bergamot</w:t>
            </w:r>
          </w:p>
        </w:tc>
        <w:tc>
          <w:tcPr>
            <w:tcW w:w="2800" w:type="dxa"/>
            <w:tcBorders>
              <w:top w:val="nil"/>
              <w:left w:val="nil"/>
              <w:bottom w:val="single" w:sz="4" w:space="0" w:color="auto"/>
              <w:right w:val="single" w:sz="4" w:space="0" w:color="auto"/>
            </w:tcBorders>
            <w:shd w:val="clear" w:color="000000" w:fill="A9D08E"/>
            <w:noWrap/>
            <w:vAlign w:val="bottom"/>
            <w:hideMark/>
          </w:tcPr>
          <w:p w14:paraId="4D622271" w14:textId="77777777" w:rsidR="003722C1" w:rsidRPr="003722C1" w:rsidRDefault="003722C1" w:rsidP="003722C1">
            <w:pPr>
              <w:rPr>
                <w:rFonts w:ascii="Arial" w:eastAsia="Times New Roman" w:hAnsi="Arial" w:cs="Arial"/>
                <w:color w:val="000000"/>
                <w:sz w:val="20"/>
                <w:szCs w:val="20"/>
              </w:rPr>
            </w:pPr>
            <w:r w:rsidRPr="003722C1">
              <w:rPr>
                <w:rFonts w:ascii="Arial" w:eastAsia="Times New Roman" w:hAnsi="Arial" w:cs="Arial"/>
                <w:color w:val="000000"/>
                <w:sz w:val="20"/>
                <w:szCs w:val="20"/>
              </w:rPr>
              <w:t>Monarda fistulosa</w:t>
            </w:r>
          </w:p>
        </w:tc>
        <w:tc>
          <w:tcPr>
            <w:tcW w:w="820" w:type="dxa"/>
            <w:tcBorders>
              <w:top w:val="nil"/>
              <w:left w:val="nil"/>
              <w:bottom w:val="single" w:sz="4" w:space="0" w:color="auto"/>
              <w:right w:val="single" w:sz="4" w:space="0" w:color="auto"/>
            </w:tcBorders>
            <w:shd w:val="clear" w:color="auto" w:fill="auto"/>
            <w:noWrap/>
            <w:vAlign w:val="bottom"/>
            <w:hideMark/>
          </w:tcPr>
          <w:p w14:paraId="48D01FE5" w14:textId="77777777" w:rsidR="003722C1" w:rsidRPr="003722C1" w:rsidRDefault="003722C1" w:rsidP="003722C1">
            <w:pPr>
              <w:jc w:val="right"/>
              <w:rPr>
                <w:rFonts w:ascii="Arial" w:eastAsia="Times New Roman" w:hAnsi="Arial" w:cs="Arial"/>
                <w:color w:val="000000"/>
                <w:sz w:val="20"/>
                <w:szCs w:val="20"/>
              </w:rPr>
            </w:pPr>
            <w:r w:rsidRPr="003722C1">
              <w:rPr>
                <w:rFonts w:ascii="Arial" w:eastAsia="Times New Roman" w:hAnsi="Arial" w:cs="Arial"/>
                <w:color w:val="000000"/>
                <w:sz w:val="20"/>
                <w:szCs w:val="20"/>
              </w:rPr>
              <w:t>0.02</w:t>
            </w:r>
          </w:p>
        </w:tc>
        <w:tc>
          <w:tcPr>
            <w:tcW w:w="1006" w:type="dxa"/>
            <w:tcBorders>
              <w:top w:val="nil"/>
              <w:left w:val="nil"/>
              <w:bottom w:val="single" w:sz="4" w:space="0" w:color="auto"/>
              <w:right w:val="single" w:sz="4" w:space="0" w:color="auto"/>
            </w:tcBorders>
            <w:shd w:val="clear" w:color="auto" w:fill="auto"/>
            <w:noWrap/>
            <w:vAlign w:val="bottom"/>
            <w:hideMark/>
          </w:tcPr>
          <w:p w14:paraId="736472AC" w14:textId="77777777" w:rsidR="003722C1" w:rsidRPr="003722C1" w:rsidRDefault="003722C1" w:rsidP="003722C1">
            <w:pPr>
              <w:jc w:val="right"/>
              <w:rPr>
                <w:rFonts w:ascii="Arial" w:eastAsia="Times New Roman" w:hAnsi="Arial" w:cs="Arial"/>
                <w:color w:val="000000"/>
                <w:sz w:val="20"/>
                <w:szCs w:val="20"/>
              </w:rPr>
            </w:pPr>
            <w:r w:rsidRPr="003722C1">
              <w:rPr>
                <w:rFonts w:ascii="Arial" w:eastAsia="Times New Roman" w:hAnsi="Arial" w:cs="Arial"/>
                <w:color w:val="000000"/>
                <w:sz w:val="20"/>
                <w:szCs w:val="20"/>
              </w:rPr>
              <w:t>0.05%</w:t>
            </w:r>
          </w:p>
        </w:tc>
        <w:tc>
          <w:tcPr>
            <w:tcW w:w="1106" w:type="dxa"/>
            <w:tcBorders>
              <w:top w:val="nil"/>
              <w:left w:val="nil"/>
              <w:bottom w:val="single" w:sz="4" w:space="0" w:color="auto"/>
              <w:right w:val="single" w:sz="4" w:space="0" w:color="auto"/>
            </w:tcBorders>
            <w:shd w:val="clear" w:color="auto" w:fill="auto"/>
            <w:noWrap/>
            <w:vAlign w:val="bottom"/>
            <w:hideMark/>
          </w:tcPr>
          <w:p w14:paraId="6F90328F" w14:textId="77777777" w:rsidR="003722C1" w:rsidRPr="003722C1" w:rsidRDefault="003722C1" w:rsidP="003722C1">
            <w:pPr>
              <w:jc w:val="right"/>
              <w:rPr>
                <w:rFonts w:ascii="Arial" w:eastAsia="Times New Roman" w:hAnsi="Arial" w:cs="Arial"/>
                <w:color w:val="000000"/>
                <w:sz w:val="20"/>
                <w:szCs w:val="20"/>
              </w:rPr>
            </w:pPr>
            <w:r w:rsidRPr="003722C1">
              <w:rPr>
                <w:rFonts w:ascii="Arial" w:eastAsia="Times New Roman" w:hAnsi="Arial" w:cs="Arial"/>
                <w:color w:val="000000"/>
                <w:sz w:val="20"/>
                <w:szCs w:val="20"/>
              </w:rPr>
              <w:t>0.51</w:t>
            </w:r>
          </w:p>
        </w:tc>
        <w:tc>
          <w:tcPr>
            <w:tcW w:w="1106" w:type="dxa"/>
            <w:tcBorders>
              <w:top w:val="nil"/>
              <w:left w:val="nil"/>
              <w:bottom w:val="single" w:sz="4" w:space="0" w:color="auto"/>
              <w:right w:val="single" w:sz="4" w:space="0" w:color="auto"/>
            </w:tcBorders>
            <w:shd w:val="clear" w:color="auto" w:fill="auto"/>
            <w:noWrap/>
            <w:vAlign w:val="bottom"/>
            <w:hideMark/>
          </w:tcPr>
          <w:p w14:paraId="09F07E61" w14:textId="77777777" w:rsidR="003722C1" w:rsidRPr="003722C1" w:rsidRDefault="003722C1" w:rsidP="003722C1">
            <w:pPr>
              <w:jc w:val="right"/>
              <w:rPr>
                <w:rFonts w:ascii="Arial" w:eastAsia="Times New Roman" w:hAnsi="Arial" w:cs="Arial"/>
                <w:color w:val="000000"/>
                <w:sz w:val="20"/>
                <w:szCs w:val="20"/>
              </w:rPr>
            </w:pPr>
            <w:r w:rsidRPr="003722C1">
              <w:rPr>
                <w:rFonts w:ascii="Arial" w:eastAsia="Times New Roman" w:hAnsi="Arial" w:cs="Arial"/>
                <w:color w:val="000000"/>
                <w:sz w:val="20"/>
                <w:szCs w:val="20"/>
              </w:rPr>
              <w:t>0.66%</w:t>
            </w:r>
          </w:p>
        </w:tc>
      </w:tr>
      <w:tr w:rsidR="003722C1" w:rsidRPr="003722C1" w14:paraId="21DEE9FA" w14:textId="77777777" w:rsidTr="00606E28">
        <w:trPr>
          <w:trHeight w:val="255"/>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14:paraId="5D8E63FA" w14:textId="77777777" w:rsidR="003722C1" w:rsidRPr="003722C1" w:rsidRDefault="003722C1" w:rsidP="003722C1">
            <w:pPr>
              <w:rPr>
                <w:rFonts w:ascii="Arial" w:eastAsia="Times New Roman" w:hAnsi="Arial" w:cs="Arial"/>
                <w:color w:val="000000"/>
                <w:sz w:val="20"/>
                <w:szCs w:val="20"/>
              </w:rPr>
            </w:pPr>
            <w:proofErr w:type="spellStart"/>
            <w:r w:rsidRPr="003722C1">
              <w:rPr>
                <w:rFonts w:ascii="Arial" w:eastAsia="Times New Roman" w:hAnsi="Arial" w:cs="Arial"/>
                <w:color w:val="000000"/>
                <w:sz w:val="20"/>
                <w:szCs w:val="20"/>
              </w:rPr>
              <w:t>rudhir</w:t>
            </w:r>
            <w:proofErr w:type="spellEnd"/>
          </w:p>
        </w:tc>
        <w:tc>
          <w:tcPr>
            <w:tcW w:w="1960" w:type="dxa"/>
            <w:tcBorders>
              <w:top w:val="nil"/>
              <w:left w:val="nil"/>
              <w:bottom w:val="single" w:sz="4" w:space="0" w:color="auto"/>
              <w:right w:val="single" w:sz="4" w:space="0" w:color="auto"/>
            </w:tcBorders>
            <w:shd w:val="clear" w:color="auto" w:fill="auto"/>
            <w:noWrap/>
            <w:vAlign w:val="bottom"/>
            <w:hideMark/>
          </w:tcPr>
          <w:p w14:paraId="3A9E5080" w14:textId="77777777" w:rsidR="003722C1" w:rsidRPr="003722C1" w:rsidRDefault="003722C1" w:rsidP="003722C1">
            <w:pPr>
              <w:rPr>
                <w:rFonts w:ascii="Arial" w:eastAsia="Times New Roman" w:hAnsi="Arial" w:cs="Arial"/>
                <w:color w:val="000000"/>
                <w:sz w:val="20"/>
                <w:szCs w:val="20"/>
              </w:rPr>
            </w:pPr>
            <w:r w:rsidRPr="003722C1">
              <w:rPr>
                <w:rFonts w:ascii="Arial" w:eastAsia="Times New Roman" w:hAnsi="Arial" w:cs="Arial"/>
                <w:color w:val="000000"/>
                <w:sz w:val="20"/>
                <w:szCs w:val="20"/>
              </w:rPr>
              <w:t>Black-eyed Susan</w:t>
            </w:r>
          </w:p>
        </w:tc>
        <w:tc>
          <w:tcPr>
            <w:tcW w:w="2800" w:type="dxa"/>
            <w:tcBorders>
              <w:top w:val="nil"/>
              <w:left w:val="nil"/>
              <w:bottom w:val="single" w:sz="4" w:space="0" w:color="auto"/>
              <w:right w:val="single" w:sz="4" w:space="0" w:color="auto"/>
            </w:tcBorders>
            <w:shd w:val="clear" w:color="000000" w:fill="A9D08E"/>
            <w:noWrap/>
            <w:vAlign w:val="bottom"/>
            <w:hideMark/>
          </w:tcPr>
          <w:p w14:paraId="668320CE" w14:textId="77777777" w:rsidR="003722C1" w:rsidRPr="003722C1" w:rsidRDefault="003722C1" w:rsidP="003722C1">
            <w:pPr>
              <w:rPr>
                <w:rFonts w:ascii="Arial" w:eastAsia="Times New Roman" w:hAnsi="Arial" w:cs="Arial"/>
                <w:color w:val="000000"/>
                <w:sz w:val="20"/>
                <w:szCs w:val="20"/>
              </w:rPr>
            </w:pPr>
            <w:r w:rsidRPr="003722C1">
              <w:rPr>
                <w:rFonts w:ascii="Arial" w:eastAsia="Times New Roman" w:hAnsi="Arial" w:cs="Arial"/>
                <w:color w:val="000000"/>
                <w:sz w:val="20"/>
                <w:szCs w:val="20"/>
              </w:rPr>
              <w:t xml:space="preserve">Rudbeckia </w:t>
            </w:r>
            <w:proofErr w:type="spellStart"/>
            <w:r w:rsidRPr="003722C1">
              <w:rPr>
                <w:rFonts w:ascii="Arial" w:eastAsia="Times New Roman" w:hAnsi="Arial" w:cs="Arial"/>
                <w:color w:val="000000"/>
                <w:sz w:val="20"/>
                <w:szCs w:val="20"/>
              </w:rPr>
              <w:t>hirta</w:t>
            </w:r>
            <w:proofErr w:type="spellEnd"/>
          </w:p>
        </w:tc>
        <w:tc>
          <w:tcPr>
            <w:tcW w:w="820" w:type="dxa"/>
            <w:tcBorders>
              <w:top w:val="nil"/>
              <w:left w:val="nil"/>
              <w:bottom w:val="single" w:sz="4" w:space="0" w:color="auto"/>
              <w:right w:val="single" w:sz="4" w:space="0" w:color="auto"/>
            </w:tcBorders>
            <w:shd w:val="clear" w:color="auto" w:fill="auto"/>
            <w:noWrap/>
            <w:vAlign w:val="bottom"/>
            <w:hideMark/>
          </w:tcPr>
          <w:p w14:paraId="4F8E64AA" w14:textId="77777777" w:rsidR="003722C1" w:rsidRPr="003722C1" w:rsidRDefault="003722C1" w:rsidP="003722C1">
            <w:pPr>
              <w:jc w:val="right"/>
              <w:rPr>
                <w:rFonts w:ascii="Arial" w:eastAsia="Times New Roman" w:hAnsi="Arial" w:cs="Arial"/>
                <w:color w:val="000000"/>
                <w:sz w:val="20"/>
                <w:szCs w:val="20"/>
              </w:rPr>
            </w:pPr>
            <w:r w:rsidRPr="003722C1">
              <w:rPr>
                <w:rFonts w:ascii="Arial" w:eastAsia="Times New Roman" w:hAnsi="Arial" w:cs="Arial"/>
                <w:color w:val="000000"/>
                <w:sz w:val="20"/>
                <w:szCs w:val="20"/>
              </w:rPr>
              <w:t>0.09</w:t>
            </w:r>
          </w:p>
        </w:tc>
        <w:tc>
          <w:tcPr>
            <w:tcW w:w="1006" w:type="dxa"/>
            <w:tcBorders>
              <w:top w:val="nil"/>
              <w:left w:val="nil"/>
              <w:bottom w:val="single" w:sz="4" w:space="0" w:color="auto"/>
              <w:right w:val="single" w:sz="4" w:space="0" w:color="auto"/>
            </w:tcBorders>
            <w:shd w:val="clear" w:color="auto" w:fill="auto"/>
            <w:noWrap/>
            <w:vAlign w:val="bottom"/>
            <w:hideMark/>
          </w:tcPr>
          <w:p w14:paraId="24B8A1D4" w14:textId="77777777" w:rsidR="003722C1" w:rsidRPr="003722C1" w:rsidRDefault="003722C1" w:rsidP="003722C1">
            <w:pPr>
              <w:jc w:val="right"/>
              <w:rPr>
                <w:rFonts w:ascii="Arial" w:eastAsia="Times New Roman" w:hAnsi="Arial" w:cs="Arial"/>
                <w:color w:val="000000"/>
                <w:sz w:val="20"/>
                <w:szCs w:val="20"/>
              </w:rPr>
            </w:pPr>
            <w:r w:rsidRPr="003722C1">
              <w:rPr>
                <w:rFonts w:ascii="Arial" w:eastAsia="Times New Roman" w:hAnsi="Arial" w:cs="Arial"/>
                <w:color w:val="000000"/>
                <w:sz w:val="20"/>
                <w:szCs w:val="20"/>
              </w:rPr>
              <w:t>0.24%</w:t>
            </w:r>
          </w:p>
        </w:tc>
        <w:tc>
          <w:tcPr>
            <w:tcW w:w="1106" w:type="dxa"/>
            <w:tcBorders>
              <w:top w:val="nil"/>
              <w:left w:val="nil"/>
              <w:bottom w:val="single" w:sz="4" w:space="0" w:color="auto"/>
              <w:right w:val="single" w:sz="4" w:space="0" w:color="auto"/>
            </w:tcBorders>
            <w:shd w:val="clear" w:color="auto" w:fill="auto"/>
            <w:noWrap/>
            <w:vAlign w:val="bottom"/>
            <w:hideMark/>
          </w:tcPr>
          <w:p w14:paraId="5A251436" w14:textId="77777777" w:rsidR="003722C1" w:rsidRPr="003722C1" w:rsidRDefault="003722C1" w:rsidP="003722C1">
            <w:pPr>
              <w:jc w:val="right"/>
              <w:rPr>
                <w:rFonts w:ascii="Arial" w:eastAsia="Times New Roman" w:hAnsi="Arial" w:cs="Arial"/>
                <w:color w:val="000000"/>
                <w:sz w:val="20"/>
                <w:szCs w:val="20"/>
              </w:rPr>
            </w:pPr>
            <w:r w:rsidRPr="003722C1">
              <w:rPr>
                <w:rFonts w:ascii="Arial" w:eastAsia="Times New Roman" w:hAnsi="Arial" w:cs="Arial"/>
                <w:color w:val="000000"/>
                <w:sz w:val="20"/>
                <w:szCs w:val="20"/>
              </w:rPr>
              <w:t>3.04</w:t>
            </w:r>
          </w:p>
        </w:tc>
        <w:tc>
          <w:tcPr>
            <w:tcW w:w="1106" w:type="dxa"/>
            <w:tcBorders>
              <w:top w:val="nil"/>
              <w:left w:val="nil"/>
              <w:bottom w:val="single" w:sz="4" w:space="0" w:color="auto"/>
              <w:right w:val="single" w:sz="4" w:space="0" w:color="auto"/>
            </w:tcBorders>
            <w:shd w:val="clear" w:color="auto" w:fill="auto"/>
            <w:noWrap/>
            <w:vAlign w:val="bottom"/>
            <w:hideMark/>
          </w:tcPr>
          <w:p w14:paraId="5B853F6C" w14:textId="77777777" w:rsidR="003722C1" w:rsidRPr="003722C1" w:rsidRDefault="003722C1" w:rsidP="003722C1">
            <w:pPr>
              <w:jc w:val="right"/>
              <w:rPr>
                <w:rFonts w:ascii="Arial" w:eastAsia="Times New Roman" w:hAnsi="Arial" w:cs="Arial"/>
                <w:color w:val="000000"/>
                <w:sz w:val="20"/>
                <w:szCs w:val="20"/>
              </w:rPr>
            </w:pPr>
            <w:r w:rsidRPr="003722C1">
              <w:rPr>
                <w:rFonts w:ascii="Arial" w:eastAsia="Times New Roman" w:hAnsi="Arial" w:cs="Arial"/>
                <w:color w:val="000000"/>
                <w:sz w:val="20"/>
                <w:szCs w:val="20"/>
              </w:rPr>
              <w:t>3.92%</w:t>
            </w:r>
          </w:p>
        </w:tc>
      </w:tr>
      <w:tr w:rsidR="003722C1" w:rsidRPr="003722C1" w14:paraId="56E63C4F" w14:textId="77777777" w:rsidTr="00606E28">
        <w:trPr>
          <w:trHeight w:val="255"/>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14:paraId="7FC2EA31" w14:textId="77777777" w:rsidR="003722C1" w:rsidRPr="003722C1" w:rsidRDefault="003722C1" w:rsidP="003722C1">
            <w:pPr>
              <w:rPr>
                <w:rFonts w:ascii="Arial" w:eastAsia="Times New Roman" w:hAnsi="Arial" w:cs="Arial"/>
                <w:color w:val="000000"/>
                <w:sz w:val="20"/>
                <w:szCs w:val="20"/>
              </w:rPr>
            </w:pPr>
            <w:proofErr w:type="spellStart"/>
            <w:r w:rsidRPr="003722C1">
              <w:rPr>
                <w:rFonts w:ascii="Arial" w:eastAsia="Times New Roman" w:hAnsi="Arial" w:cs="Arial"/>
                <w:color w:val="000000"/>
                <w:sz w:val="20"/>
                <w:szCs w:val="20"/>
              </w:rPr>
              <w:t>verstr</w:t>
            </w:r>
            <w:proofErr w:type="spellEnd"/>
          </w:p>
        </w:tc>
        <w:tc>
          <w:tcPr>
            <w:tcW w:w="1960" w:type="dxa"/>
            <w:tcBorders>
              <w:top w:val="nil"/>
              <w:left w:val="nil"/>
              <w:bottom w:val="single" w:sz="4" w:space="0" w:color="auto"/>
              <w:right w:val="single" w:sz="4" w:space="0" w:color="auto"/>
            </w:tcBorders>
            <w:shd w:val="clear" w:color="auto" w:fill="auto"/>
            <w:noWrap/>
            <w:vAlign w:val="bottom"/>
            <w:hideMark/>
          </w:tcPr>
          <w:p w14:paraId="739F59DA" w14:textId="77777777" w:rsidR="003722C1" w:rsidRPr="003722C1" w:rsidRDefault="003722C1" w:rsidP="003722C1">
            <w:pPr>
              <w:rPr>
                <w:rFonts w:ascii="Arial" w:eastAsia="Times New Roman" w:hAnsi="Arial" w:cs="Arial"/>
                <w:color w:val="000000"/>
                <w:sz w:val="20"/>
                <w:szCs w:val="20"/>
              </w:rPr>
            </w:pPr>
            <w:r w:rsidRPr="003722C1">
              <w:rPr>
                <w:rFonts w:ascii="Arial" w:eastAsia="Times New Roman" w:hAnsi="Arial" w:cs="Arial"/>
                <w:color w:val="000000"/>
                <w:sz w:val="20"/>
                <w:szCs w:val="20"/>
              </w:rPr>
              <w:t>Hoary Vervain</w:t>
            </w:r>
          </w:p>
        </w:tc>
        <w:tc>
          <w:tcPr>
            <w:tcW w:w="2800" w:type="dxa"/>
            <w:tcBorders>
              <w:top w:val="nil"/>
              <w:left w:val="nil"/>
              <w:bottom w:val="single" w:sz="4" w:space="0" w:color="auto"/>
              <w:right w:val="single" w:sz="4" w:space="0" w:color="auto"/>
            </w:tcBorders>
            <w:shd w:val="clear" w:color="000000" w:fill="A9D08E"/>
            <w:noWrap/>
            <w:vAlign w:val="bottom"/>
            <w:hideMark/>
          </w:tcPr>
          <w:p w14:paraId="4346EA5E" w14:textId="77777777" w:rsidR="003722C1" w:rsidRPr="003722C1" w:rsidRDefault="003722C1" w:rsidP="003722C1">
            <w:pPr>
              <w:rPr>
                <w:rFonts w:ascii="Arial" w:eastAsia="Times New Roman" w:hAnsi="Arial" w:cs="Arial"/>
                <w:color w:val="000000"/>
                <w:sz w:val="20"/>
                <w:szCs w:val="20"/>
              </w:rPr>
            </w:pPr>
            <w:r w:rsidRPr="003722C1">
              <w:rPr>
                <w:rFonts w:ascii="Arial" w:eastAsia="Times New Roman" w:hAnsi="Arial" w:cs="Arial"/>
                <w:color w:val="000000"/>
                <w:sz w:val="20"/>
                <w:szCs w:val="20"/>
              </w:rPr>
              <w:t>Verbena stricta</w:t>
            </w:r>
          </w:p>
        </w:tc>
        <w:tc>
          <w:tcPr>
            <w:tcW w:w="820" w:type="dxa"/>
            <w:tcBorders>
              <w:top w:val="nil"/>
              <w:left w:val="nil"/>
              <w:bottom w:val="single" w:sz="4" w:space="0" w:color="auto"/>
              <w:right w:val="single" w:sz="4" w:space="0" w:color="auto"/>
            </w:tcBorders>
            <w:shd w:val="clear" w:color="auto" w:fill="auto"/>
            <w:noWrap/>
            <w:vAlign w:val="bottom"/>
            <w:hideMark/>
          </w:tcPr>
          <w:p w14:paraId="129A00D4" w14:textId="77777777" w:rsidR="003722C1" w:rsidRPr="003722C1" w:rsidRDefault="003722C1" w:rsidP="003722C1">
            <w:pPr>
              <w:jc w:val="right"/>
              <w:rPr>
                <w:rFonts w:ascii="Arial" w:eastAsia="Times New Roman" w:hAnsi="Arial" w:cs="Arial"/>
                <w:color w:val="000000"/>
                <w:sz w:val="20"/>
                <w:szCs w:val="20"/>
              </w:rPr>
            </w:pPr>
            <w:r w:rsidRPr="003722C1">
              <w:rPr>
                <w:rFonts w:ascii="Arial" w:eastAsia="Times New Roman" w:hAnsi="Arial" w:cs="Arial"/>
                <w:color w:val="000000"/>
                <w:sz w:val="20"/>
                <w:szCs w:val="20"/>
              </w:rPr>
              <w:t>0.05</w:t>
            </w:r>
          </w:p>
        </w:tc>
        <w:tc>
          <w:tcPr>
            <w:tcW w:w="1006" w:type="dxa"/>
            <w:tcBorders>
              <w:top w:val="nil"/>
              <w:left w:val="nil"/>
              <w:bottom w:val="single" w:sz="4" w:space="0" w:color="auto"/>
              <w:right w:val="single" w:sz="4" w:space="0" w:color="auto"/>
            </w:tcBorders>
            <w:shd w:val="clear" w:color="auto" w:fill="auto"/>
            <w:noWrap/>
            <w:vAlign w:val="bottom"/>
            <w:hideMark/>
          </w:tcPr>
          <w:p w14:paraId="391E6EFA" w14:textId="77777777" w:rsidR="003722C1" w:rsidRPr="003722C1" w:rsidRDefault="003722C1" w:rsidP="003722C1">
            <w:pPr>
              <w:jc w:val="right"/>
              <w:rPr>
                <w:rFonts w:ascii="Arial" w:eastAsia="Times New Roman" w:hAnsi="Arial" w:cs="Arial"/>
                <w:color w:val="000000"/>
                <w:sz w:val="20"/>
                <w:szCs w:val="20"/>
              </w:rPr>
            </w:pPr>
            <w:r w:rsidRPr="003722C1">
              <w:rPr>
                <w:rFonts w:ascii="Arial" w:eastAsia="Times New Roman" w:hAnsi="Arial" w:cs="Arial"/>
                <w:color w:val="000000"/>
                <w:sz w:val="20"/>
                <w:szCs w:val="20"/>
              </w:rPr>
              <w:t>0.13%</w:t>
            </w:r>
          </w:p>
        </w:tc>
        <w:tc>
          <w:tcPr>
            <w:tcW w:w="1106" w:type="dxa"/>
            <w:tcBorders>
              <w:top w:val="nil"/>
              <w:left w:val="nil"/>
              <w:bottom w:val="single" w:sz="4" w:space="0" w:color="auto"/>
              <w:right w:val="single" w:sz="4" w:space="0" w:color="auto"/>
            </w:tcBorders>
            <w:shd w:val="clear" w:color="auto" w:fill="auto"/>
            <w:noWrap/>
            <w:vAlign w:val="bottom"/>
            <w:hideMark/>
          </w:tcPr>
          <w:p w14:paraId="5F943BDE" w14:textId="77777777" w:rsidR="003722C1" w:rsidRPr="003722C1" w:rsidRDefault="003722C1" w:rsidP="003722C1">
            <w:pPr>
              <w:jc w:val="right"/>
              <w:rPr>
                <w:rFonts w:ascii="Arial" w:eastAsia="Times New Roman" w:hAnsi="Arial" w:cs="Arial"/>
                <w:color w:val="000000"/>
                <w:sz w:val="20"/>
                <w:szCs w:val="20"/>
              </w:rPr>
            </w:pPr>
            <w:r w:rsidRPr="003722C1">
              <w:rPr>
                <w:rFonts w:ascii="Arial" w:eastAsia="Times New Roman" w:hAnsi="Arial" w:cs="Arial"/>
                <w:color w:val="000000"/>
                <w:sz w:val="20"/>
                <w:szCs w:val="20"/>
              </w:rPr>
              <w:t>0.51</w:t>
            </w:r>
          </w:p>
        </w:tc>
        <w:tc>
          <w:tcPr>
            <w:tcW w:w="1106" w:type="dxa"/>
            <w:tcBorders>
              <w:top w:val="nil"/>
              <w:left w:val="nil"/>
              <w:bottom w:val="single" w:sz="4" w:space="0" w:color="auto"/>
              <w:right w:val="single" w:sz="4" w:space="0" w:color="auto"/>
            </w:tcBorders>
            <w:shd w:val="clear" w:color="auto" w:fill="auto"/>
            <w:noWrap/>
            <w:vAlign w:val="bottom"/>
            <w:hideMark/>
          </w:tcPr>
          <w:p w14:paraId="54C9A5B0" w14:textId="77777777" w:rsidR="003722C1" w:rsidRPr="003722C1" w:rsidRDefault="003722C1" w:rsidP="003722C1">
            <w:pPr>
              <w:jc w:val="right"/>
              <w:rPr>
                <w:rFonts w:ascii="Arial" w:eastAsia="Times New Roman" w:hAnsi="Arial" w:cs="Arial"/>
                <w:color w:val="000000"/>
                <w:sz w:val="20"/>
                <w:szCs w:val="20"/>
              </w:rPr>
            </w:pPr>
            <w:r w:rsidRPr="003722C1">
              <w:rPr>
                <w:rFonts w:ascii="Arial" w:eastAsia="Times New Roman" w:hAnsi="Arial" w:cs="Arial"/>
                <w:color w:val="000000"/>
                <w:sz w:val="20"/>
                <w:szCs w:val="20"/>
              </w:rPr>
              <w:t>0.66%</w:t>
            </w:r>
          </w:p>
        </w:tc>
      </w:tr>
      <w:tr w:rsidR="003722C1" w:rsidRPr="003722C1" w14:paraId="0948F08D" w14:textId="77777777" w:rsidTr="00606E28">
        <w:trPr>
          <w:trHeight w:val="255"/>
        </w:trPr>
        <w:tc>
          <w:tcPr>
            <w:tcW w:w="951" w:type="dxa"/>
            <w:tcBorders>
              <w:top w:val="nil"/>
              <w:left w:val="single" w:sz="4" w:space="0" w:color="auto"/>
              <w:bottom w:val="single" w:sz="4" w:space="0" w:color="auto"/>
              <w:right w:val="single" w:sz="4" w:space="0" w:color="auto"/>
            </w:tcBorders>
            <w:shd w:val="clear" w:color="000000" w:fill="9BC2E6"/>
            <w:noWrap/>
            <w:vAlign w:val="bottom"/>
            <w:hideMark/>
          </w:tcPr>
          <w:p w14:paraId="59A487B4" w14:textId="77777777" w:rsidR="003722C1" w:rsidRPr="003722C1" w:rsidRDefault="003722C1" w:rsidP="003722C1">
            <w:pPr>
              <w:rPr>
                <w:rFonts w:ascii="Arial" w:eastAsia="Times New Roman" w:hAnsi="Arial" w:cs="Arial"/>
                <w:b/>
                <w:bCs/>
                <w:color w:val="000000"/>
                <w:sz w:val="20"/>
                <w:szCs w:val="20"/>
              </w:rPr>
            </w:pPr>
            <w:r w:rsidRPr="003722C1">
              <w:rPr>
                <w:rFonts w:ascii="Arial" w:eastAsia="Times New Roman" w:hAnsi="Arial" w:cs="Arial"/>
                <w:b/>
                <w:bCs/>
                <w:color w:val="000000"/>
                <w:sz w:val="20"/>
                <w:szCs w:val="20"/>
              </w:rPr>
              <w:t> </w:t>
            </w:r>
          </w:p>
        </w:tc>
        <w:tc>
          <w:tcPr>
            <w:tcW w:w="1960" w:type="dxa"/>
            <w:tcBorders>
              <w:top w:val="nil"/>
              <w:left w:val="nil"/>
              <w:bottom w:val="single" w:sz="4" w:space="0" w:color="auto"/>
              <w:right w:val="single" w:sz="4" w:space="0" w:color="auto"/>
            </w:tcBorders>
            <w:shd w:val="clear" w:color="000000" w:fill="9BC2E6"/>
            <w:noWrap/>
            <w:vAlign w:val="bottom"/>
            <w:hideMark/>
          </w:tcPr>
          <w:p w14:paraId="17F6D88A" w14:textId="77777777" w:rsidR="003722C1" w:rsidRPr="003722C1" w:rsidRDefault="003722C1" w:rsidP="003722C1">
            <w:pPr>
              <w:rPr>
                <w:rFonts w:ascii="Arial" w:eastAsia="Times New Roman" w:hAnsi="Arial" w:cs="Arial"/>
                <w:b/>
                <w:bCs/>
                <w:color w:val="000000"/>
                <w:sz w:val="20"/>
                <w:szCs w:val="20"/>
              </w:rPr>
            </w:pPr>
            <w:r w:rsidRPr="003722C1">
              <w:rPr>
                <w:rFonts w:ascii="Arial" w:eastAsia="Times New Roman" w:hAnsi="Arial" w:cs="Arial"/>
                <w:b/>
                <w:bCs/>
                <w:color w:val="000000"/>
                <w:sz w:val="20"/>
                <w:szCs w:val="20"/>
              </w:rPr>
              <w:t> </w:t>
            </w:r>
          </w:p>
        </w:tc>
        <w:tc>
          <w:tcPr>
            <w:tcW w:w="2800" w:type="dxa"/>
            <w:tcBorders>
              <w:top w:val="nil"/>
              <w:left w:val="nil"/>
              <w:bottom w:val="single" w:sz="4" w:space="0" w:color="auto"/>
              <w:right w:val="single" w:sz="4" w:space="0" w:color="auto"/>
            </w:tcBorders>
            <w:shd w:val="clear" w:color="000000" w:fill="9BC2E6"/>
            <w:noWrap/>
            <w:vAlign w:val="bottom"/>
            <w:hideMark/>
          </w:tcPr>
          <w:p w14:paraId="73DDD8EE" w14:textId="77777777" w:rsidR="003722C1" w:rsidRPr="003722C1" w:rsidRDefault="003722C1" w:rsidP="003722C1">
            <w:pPr>
              <w:rPr>
                <w:rFonts w:ascii="Arial" w:eastAsia="Times New Roman" w:hAnsi="Arial" w:cs="Arial"/>
                <w:b/>
                <w:bCs/>
                <w:color w:val="000000"/>
                <w:sz w:val="20"/>
                <w:szCs w:val="20"/>
              </w:rPr>
            </w:pPr>
            <w:r w:rsidRPr="003722C1">
              <w:rPr>
                <w:rFonts w:ascii="Arial" w:eastAsia="Times New Roman" w:hAnsi="Arial" w:cs="Arial"/>
                <w:b/>
                <w:bCs/>
                <w:color w:val="000000"/>
                <w:sz w:val="20"/>
                <w:szCs w:val="20"/>
              </w:rPr>
              <w:t>Forbs Subtotal</w:t>
            </w:r>
          </w:p>
        </w:tc>
        <w:tc>
          <w:tcPr>
            <w:tcW w:w="820" w:type="dxa"/>
            <w:tcBorders>
              <w:top w:val="nil"/>
              <w:left w:val="nil"/>
              <w:bottom w:val="single" w:sz="4" w:space="0" w:color="auto"/>
              <w:right w:val="single" w:sz="4" w:space="0" w:color="auto"/>
            </w:tcBorders>
            <w:shd w:val="clear" w:color="000000" w:fill="9BC2E6"/>
            <w:noWrap/>
            <w:vAlign w:val="bottom"/>
            <w:hideMark/>
          </w:tcPr>
          <w:p w14:paraId="20D82883" w14:textId="77777777" w:rsidR="003722C1" w:rsidRPr="003722C1" w:rsidRDefault="003722C1" w:rsidP="003722C1">
            <w:pPr>
              <w:jc w:val="right"/>
              <w:rPr>
                <w:rFonts w:ascii="Arial" w:eastAsia="Times New Roman" w:hAnsi="Arial" w:cs="Arial"/>
                <w:b/>
                <w:bCs/>
                <w:color w:val="000000"/>
                <w:sz w:val="20"/>
                <w:szCs w:val="20"/>
              </w:rPr>
            </w:pPr>
            <w:r w:rsidRPr="003722C1">
              <w:rPr>
                <w:rFonts w:ascii="Arial" w:eastAsia="Times New Roman" w:hAnsi="Arial" w:cs="Arial"/>
                <w:b/>
                <w:bCs/>
                <w:color w:val="000000"/>
                <w:sz w:val="20"/>
                <w:szCs w:val="20"/>
              </w:rPr>
              <w:t>0.50</w:t>
            </w:r>
          </w:p>
        </w:tc>
        <w:tc>
          <w:tcPr>
            <w:tcW w:w="1006" w:type="dxa"/>
            <w:tcBorders>
              <w:top w:val="nil"/>
              <w:left w:val="nil"/>
              <w:bottom w:val="single" w:sz="4" w:space="0" w:color="auto"/>
              <w:right w:val="single" w:sz="4" w:space="0" w:color="auto"/>
            </w:tcBorders>
            <w:shd w:val="clear" w:color="000000" w:fill="9BC2E6"/>
            <w:noWrap/>
            <w:vAlign w:val="bottom"/>
            <w:hideMark/>
          </w:tcPr>
          <w:p w14:paraId="1F96DB6B" w14:textId="77777777" w:rsidR="003722C1" w:rsidRPr="003722C1" w:rsidRDefault="003722C1" w:rsidP="003722C1">
            <w:pPr>
              <w:jc w:val="right"/>
              <w:rPr>
                <w:rFonts w:ascii="Arial" w:eastAsia="Times New Roman" w:hAnsi="Arial" w:cs="Arial"/>
                <w:b/>
                <w:bCs/>
                <w:color w:val="000000"/>
                <w:sz w:val="20"/>
                <w:szCs w:val="20"/>
              </w:rPr>
            </w:pPr>
            <w:r w:rsidRPr="003722C1">
              <w:rPr>
                <w:rFonts w:ascii="Arial" w:eastAsia="Times New Roman" w:hAnsi="Arial" w:cs="Arial"/>
                <w:b/>
                <w:bCs/>
                <w:color w:val="000000"/>
                <w:sz w:val="20"/>
                <w:szCs w:val="20"/>
              </w:rPr>
              <w:t>1.33%</w:t>
            </w:r>
          </w:p>
        </w:tc>
        <w:tc>
          <w:tcPr>
            <w:tcW w:w="1106" w:type="dxa"/>
            <w:tcBorders>
              <w:top w:val="nil"/>
              <w:left w:val="nil"/>
              <w:bottom w:val="single" w:sz="4" w:space="0" w:color="auto"/>
              <w:right w:val="single" w:sz="4" w:space="0" w:color="auto"/>
            </w:tcBorders>
            <w:shd w:val="clear" w:color="000000" w:fill="9BC2E6"/>
            <w:noWrap/>
            <w:vAlign w:val="bottom"/>
            <w:hideMark/>
          </w:tcPr>
          <w:p w14:paraId="796C69B1" w14:textId="77777777" w:rsidR="003722C1" w:rsidRPr="003722C1" w:rsidRDefault="003722C1" w:rsidP="003722C1">
            <w:pPr>
              <w:jc w:val="right"/>
              <w:rPr>
                <w:rFonts w:ascii="Arial" w:eastAsia="Times New Roman" w:hAnsi="Arial" w:cs="Arial"/>
                <w:b/>
                <w:bCs/>
                <w:color w:val="000000"/>
                <w:sz w:val="20"/>
                <w:szCs w:val="20"/>
              </w:rPr>
            </w:pPr>
            <w:r w:rsidRPr="003722C1">
              <w:rPr>
                <w:rFonts w:ascii="Arial" w:eastAsia="Times New Roman" w:hAnsi="Arial" w:cs="Arial"/>
                <w:b/>
                <w:bCs/>
                <w:color w:val="000000"/>
                <w:sz w:val="20"/>
                <w:szCs w:val="20"/>
              </w:rPr>
              <w:t>4.48</w:t>
            </w:r>
          </w:p>
        </w:tc>
        <w:tc>
          <w:tcPr>
            <w:tcW w:w="1106" w:type="dxa"/>
            <w:tcBorders>
              <w:top w:val="nil"/>
              <w:left w:val="nil"/>
              <w:bottom w:val="single" w:sz="4" w:space="0" w:color="auto"/>
              <w:right w:val="single" w:sz="4" w:space="0" w:color="auto"/>
            </w:tcBorders>
            <w:shd w:val="clear" w:color="000000" w:fill="9BC2E6"/>
            <w:noWrap/>
            <w:vAlign w:val="bottom"/>
            <w:hideMark/>
          </w:tcPr>
          <w:p w14:paraId="4F1F92A0" w14:textId="77777777" w:rsidR="003722C1" w:rsidRPr="003722C1" w:rsidRDefault="003722C1" w:rsidP="003722C1">
            <w:pPr>
              <w:jc w:val="right"/>
              <w:rPr>
                <w:rFonts w:ascii="Arial" w:eastAsia="Times New Roman" w:hAnsi="Arial" w:cs="Arial"/>
                <w:b/>
                <w:bCs/>
                <w:color w:val="000000"/>
                <w:sz w:val="20"/>
                <w:szCs w:val="20"/>
              </w:rPr>
            </w:pPr>
            <w:r w:rsidRPr="003722C1">
              <w:rPr>
                <w:rFonts w:ascii="Arial" w:eastAsia="Times New Roman" w:hAnsi="Arial" w:cs="Arial"/>
                <w:b/>
                <w:bCs/>
                <w:color w:val="000000"/>
                <w:sz w:val="20"/>
                <w:szCs w:val="20"/>
              </w:rPr>
              <w:t>5.78%</w:t>
            </w:r>
          </w:p>
        </w:tc>
      </w:tr>
      <w:tr w:rsidR="003722C1" w:rsidRPr="003722C1" w14:paraId="6E0462A0" w14:textId="77777777" w:rsidTr="00606E28">
        <w:trPr>
          <w:trHeight w:val="255"/>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14:paraId="4E40FE54" w14:textId="77777777" w:rsidR="003722C1" w:rsidRPr="003722C1" w:rsidRDefault="003722C1" w:rsidP="003722C1">
            <w:pPr>
              <w:rPr>
                <w:rFonts w:ascii="Arial" w:eastAsia="Times New Roman" w:hAnsi="Arial" w:cs="Arial"/>
                <w:color w:val="000000"/>
                <w:sz w:val="20"/>
                <w:szCs w:val="20"/>
              </w:rPr>
            </w:pPr>
            <w:r w:rsidRPr="003722C1">
              <w:rPr>
                <w:rFonts w:ascii="Arial" w:eastAsia="Times New Roman" w:hAnsi="Arial" w:cs="Arial"/>
                <w:color w:val="000000"/>
                <w:sz w:val="20"/>
                <w:szCs w:val="20"/>
              </w:rPr>
              <w:t>cover</w:t>
            </w:r>
          </w:p>
        </w:tc>
        <w:tc>
          <w:tcPr>
            <w:tcW w:w="1960" w:type="dxa"/>
            <w:tcBorders>
              <w:top w:val="nil"/>
              <w:left w:val="nil"/>
              <w:bottom w:val="single" w:sz="4" w:space="0" w:color="auto"/>
              <w:right w:val="single" w:sz="4" w:space="0" w:color="auto"/>
            </w:tcBorders>
            <w:shd w:val="clear" w:color="auto" w:fill="auto"/>
            <w:noWrap/>
            <w:vAlign w:val="bottom"/>
            <w:hideMark/>
          </w:tcPr>
          <w:p w14:paraId="2E69C3B1" w14:textId="77777777" w:rsidR="003722C1" w:rsidRPr="003722C1" w:rsidRDefault="003722C1" w:rsidP="003722C1">
            <w:pPr>
              <w:rPr>
                <w:rFonts w:ascii="Arial" w:eastAsia="Times New Roman" w:hAnsi="Arial" w:cs="Arial"/>
                <w:color w:val="000000"/>
                <w:sz w:val="20"/>
                <w:szCs w:val="20"/>
              </w:rPr>
            </w:pPr>
            <w:r w:rsidRPr="003722C1">
              <w:rPr>
                <w:rFonts w:ascii="Arial" w:eastAsia="Times New Roman" w:hAnsi="Arial" w:cs="Arial"/>
                <w:color w:val="000000"/>
                <w:sz w:val="20"/>
                <w:szCs w:val="20"/>
              </w:rPr>
              <w:t>Oats/Winter Wheat</w:t>
            </w:r>
          </w:p>
        </w:tc>
        <w:tc>
          <w:tcPr>
            <w:tcW w:w="2800" w:type="dxa"/>
            <w:tcBorders>
              <w:top w:val="nil"/>
              <w:left w:val="nil"/>
              <w:bottom w:val="single" w:sz="4" w:space="0" w:color="auto"/>
              <w:right w:val="single" w:sz="4" w:space="0" w:color="auto"/>
            </w:tcBorders>
            <w:shd w:val="clear" w:color="000000" w:fill="A9D08E"/>
            <w:noWrap/>
            <w:vAlign w:val="bottom"/>
            <w:hideMark/>
          </w:tcPr>
          <w:p w14:paraId="2A853BB6" w14:textId="77777777" w:rsidR="003722C1" w:rsidRPr="003722C1" w:rsidRDefault="003722C1" w:rsidP="003722C1">
            <w:pPr>
              <w:rPr>
                <w:rFonts w:ascii="Arial" w:eastAsia="Times New Roman" w:hAnsi="Arial" w:cs="Arial"/>
                <w:color w:val="000000"/>
                <w:sz w:val="20"/>
                <w:szCs w:val="20"/>
              </w:rPr>
            </w:pPr>
            <w:proofErr w:type="spellStart"/>
            <w:r w:rsidRPr="003722C1">
              <w:rPr>
                <w:rFonts w:ascii="Arial" w:eastAsia="Times New Roman" w:hAnsi="Arial" w:cs="Arial"/>
                <w:color w:val="000000"/>
                <w:sz w:val="20"/>
                <w:szCs w:val="20"/>
              </w:rPr>
              <w:t>Avena</w:t>
            </w:r>
            <w:proofErr w:type="spellEnd"/>
            <w:r w:rsidRPr="003722C1">
              <w:rPr>
                <w:rFonts w:ascii="Arial" w:eastAsia="Times New Roman" w:hAnsi="Arial" w:cs="Arial"/>
                <w:color w:val="000000"/>
                <w:sz w:val="20"/>
                <w:szCs w:val="20"/>
              </w:rPr>
              <w:t xml:space="preserve"> sativa/Triticum </w:t>
            </w:r>
            <w:proofErr w:type="spellStart"/>
            <w:r w:rsidRPr="003722C1">
              <w:rPr>
                <w:rFonts w:ascii="Arial" w:eastAsia="Times New Roman" w:hAnsi="Arial" w:cs="Arial"/>
                <w:color w:val="000000"/>
                <w:sz w:val="20"/>
                <w:szCs w:val="20"/>
              </w:rPr>
              <w:t>aestivum</w:t>
            </w:r>
            <w:proofErr w:type="spellEnd"/>
          </w:p>
        </w:tc>
        <w:tc>
          <w:tcPr>
            <w:tcW w:w="820" w:type="dxa"/>
            <w:tcBorders>
              <w:top w:val="nil"/>
              <w:left w:val="nil"/>
              <w:bottom w:val="single" w:sz="4" w:space="0" w:color="auto"/>
              <w:right w:val="single" w:sz="4" w:space="0" w:color="auto"/>
            </w:tcBorders>
            <w:shd w:val="clear" w:color="auto" w:fill="auto"/>
            <w:noWrap/>
            <w:vAlign w:val="bottom"/>
            <w:hideMark/>
          </w:tcPr>
          <w:p w14:paraId="545089DC" w14:textId="77777777" w:rsidR="003722C1" w:rsidRPr="003722C1" w:rsidRDefault="003722C1" w:rsidP="003722C1">
            <w:pPr>
              <w:jc w:val="right"/>
              <w:rPr>
                <w:rFonts w:ascii="Arial" w:eastAsia="Times New Roman" w:hAnsi="Arial" w:cs="Arial"/>
                <w:color w:val="000000"/>
                <w:sz w:val="20"/>
                <w:szCs w:val="20"/>
              </w:rPr>
            </w:pPr>
            <w:r w:rsidRPr="003722C1">
              <w:rPr>
                <w:rFonts w:ascii="Arial" w:eastAsia="Times New Roman" w:hAnsi="Arial" w:cs="Arial"/>
                <w:color w:val="000000"/>
                <w:sz w:val="20"/>
                <w:szCs w:val="20"/>
              </w:rPr>
              <w:t>25.00</w:t>
            </w:r>
          </w:p>
        </w:tc>
        <w:tc>
          <w:tcPr>
            <w:tcW w:w="1006" w:type="dxa"/>
            <w:tcBorders>
              <w:top w:val="nil"/>
              <w:left w:val="nil"/>
              <w:bottom w:val="single" w:sz="4" w:space="0" w:color="auto"/>
              <w:right w:val="single" w:sz="4" w:space="0" w:color="auto"/>
            </w:tcBorders>
            <w:shd w:val="clear" w:color="auto" w:fill="auto"/>
            <w:noWrap/>
            <w:vAlign w:val="bottom"/>
            <w:hideMark/>
          </w:tcPr>
          <w:p w14:paraId="30C5A779" w14:textId="77777777" w:rsidR="003722C1" w:rsidRPr="003722C1" w:rsidRDefault="003722C1" w:rsidP="003722C1">
            <w:pPr>
              <w:jc w:val="right"/>
              <w:rPr>
                <w:rFonts w:ascii="Arial" w:eastAsia="Times New Roman" w:hAnsi="Arial" w:cs="Arial"/>
                <w:color w:val="000000"/>
                <w:sz w:val="20"/>
                <w:szCs w:val="20"/>
              </w:rPr>
            </w:pPr>
            <w:r w:rsidRPr="003722C1">
              <w:rPr>
                <w:rFonts w:ascii="Arial" w:eastAsia="Times New Roman" w:hAnsi="Arial" w:cs="Arial"/>
                <w:color w:val="000000"/>
                <w:sz w:val="20"/>
                <w:szCs w:val="20"/>
              </w:rPr>
              <w:t>66.49%</w:t>
            </w:r>
          </w:p>
        </w:tc>
        <w:tc>
          <w:tcPr>
            <w:tcW w:w="1106" w:type="dxa"/>
            <w:tcBorders>
              <w:top w:val="nil"/>
              <w:left w:val="nil"/>
              <w:bottom w:val="single" w:sz="4" w:space="0" w:color="auto"/>
              <w:right w:val="single" w:sz="4" w:space="0" w:color="auto"/>
            </w:tcBorders>
            <w:shd w:val="clear" w:color="auto" w:fill="auto"/>
            <w:noWrap/>
            <w:vAlign w:val="bottom"/>
            <w:hideMark/>
          </w:tcPr>
          <w:p w14:paraId="29B68BAC" w14:textId="77777777" w:rsidR="003722C1" w:rsidRPr="003722C1" w:rsidRDefault="003722C1" w:rsidP="003722C1">
            <w:pPr>
              <w:jc w:val="right"/>
              <w:rPr>
                <w:rFonts w:ascii="Arial" w:eastAsia="Times New Roman" w:hAnsi="Arial" w:cs="Arial"/>
                <w:color w:val="000000"/>
                <w:sz w:val="20"/>
                <w:szCs w:val="20"/>
              </w:rPr>
            </w:pPr>
            <w:r w:rsidRPr="003722C1">
              <w:rPr>
                <w:rFonts w:ascii="Arial" w:eastAsia="Times New Roman" w:hAnsi="Arial" w:cs="Arial"/>
                <w:color w:val="000000"/>
                <w:sz w:val="20"/>
                <w:szCs w:val="20"/>
              </w:rPr>
              <w:t>11.14</w:t>
            </w:r>
          </w:p>
        </w:tc>
        <w:tc>
          <w:tcPr>
            <w:tcW w:w="1106" w:type="dxa"/>
            <w:tcBorders>
              <w:top w:val="nil"/>
              <w:left w:val="nil"/>
              <w:bottom w:val="single" w:sz="4" w:space="0" w:color="auto"/>
              <w:right w:val="single" w:sz="4" w:space="0" w:color="auto"/>
            </w:tcBorders>
            <w:shd w:val="clear" w:color="auto" w:fill="auto"/>
            <w:noWrap/>
            <w:vAlign w:val="bottom"/>
            <w:hideMark/>
          </w:tcPr>
          <w:p w14:paraId="5B192099" w14:textId="77777777" w:rsidR="003722C1" w:rsidRPr="003722C1" w:rsidRDefault="003722C1" w:rsidP="003722C1">
            <w:pPr>
              <w:jc w:val="right"/>
              <w:rPr>
                <w:rFonts w:ascii="Arial" w:eastAsia="Times New Roman" w:hAnsi="Arial" w:cs="Arial"/>
                <w:color w:val="000000"/>
                <w:sz w:val="20"/>
                <w:szCs w:val="20"/>
              </w:rPr>
            </w:pPr>
            <w:r w:rsidRPr="003722C1">
              <w:rPr>
                <w:rFonts w:ascii="Arial" w:eastAsia="Times New Roman" w:hAnsi="Arial" w:cs="Arial"/>
                <w:color w:val="000000"/>
                <w:sz w:val="20"/>
                <w:szCs w:val="20"/>
              </w:rPr>
              <w:t>14.37%</w:t>
            </w:r>
          </w:p>
        </w:tc>
      </w:tr>
      <w:tr w:rsidR="003722C1" w:rsidRPr="003722C1" w14:paraId="3D8EFC98" w14:textId="77777777" w:rsidTr="00606E28">
        <w:trPr>
          <w:trHeight w:val="255"/>
        </w:trPr>
        <w:tc>
          <w:tcPr>
            <w:tcW w:w="951" w:type="dxa"/>
            <w:tcBorders>
              <w:top w:val="nil"/>
              <w:left w:val="single" w:sz="4" w:space="0" w:color="auto"/>
              <w:bottom w:val="single" w:sz="4" w:space="0" w:color="auto"/>
              <w:right w:val="single" w:sz="4" w:space="0" w:color="auto"/>
            </w:tcBorders>
            <w:shd w:val="clear" w:color="000000" w:fill="9BC2E6"/>
            <w:noWrap/>
            <w:vAlign w:val="bottom"/>
            <w:hideMark/>
          </w:tcPr>
          <w:p w14:paraId="3948742F" w14:textId="77777777" w:rsidR="003722C1" w:rsidRPr="003722C1" w:rsidRDefault="003722C1" w:rsidP="003722C1">
            <w:pPr>
              <w:rPr>
                <w:rFonts w:ascii="Arial" w:eastAsia="Times New Roman" w:hAnsi="Arial" w:cs="Arial"/>
                <w:b/>
                <w:bCs/>
                <w:color w:val="000000"/>
                <w:sz w:val="20"/>
                <w:szCs w:val="20"/>
              </w:rPr>
            </w:pPr>
            <w:r w:rsidRPr="003722C1">
              <w:rPr>
                <w:rFonts w:ascii="Arial" w:eastAsia="Times New Roman" w:hAnsi="Arial" w:cs="Arial"/>
                <w:b/>
                <w:bCs/>
                <w:color w:val="000000"/>
                <w:sz w:val="20"/>
                <w:szCs w:val="20"/>
              </w:rPr>
              <w:t> </w:t>
            </w:r>
          </w:p>
        </w:tc>
        <w:tc>
          <w:tcPr>
            <w:tcW w:w="1960" w:type="dxa"/>
            <w:tcBorders>
              <w:top w:val="nil"/>
              <w:left w:val="nil"/>
              <w:bottom w:val="single" w:sz="4" w:space="0" w:color="auto"/>
              <w:right w:val="single" w:sz="4" w:space="0" w:color="auto"/>
            </w:tcBorders>
            <w:shd w:val="clear" w:color="000000" w:fill="9BC2E6"/>
            <w:noWrap/>
            <w:vAlign w:val="bottom"/>
            <w:hideMark/>
          </w:tcPr>
          <w:p w14:paraId="2B9E03D2" w14:textId="77777777" w:rsidR="003722C1" w:rsidRPr="003722C1" w:rsidRDefault="003722C1" w:rsidP="003722C1">
            <w:pPr>
              <w:rPr>
                <w:rFonts w:ascii="Arial" w:eastAsia="Times New Roman" w:hAnsi="Arial" w:cs="Arial"/>
                <w:b/>
                <w:bCs/>
                <w:color w:val="000000"/>
                <w:sz w:val="20"/>
                <w:szCs w:val="20"/>
              </w:rPr>
            </w:pPr>
            <w:r w:rsidRPr="003722C1">
              <w:rPr>
                <w:rFonts w:ascii="Arial" w:eastAsia="Times New Roman" w:hAnsi="Arial" w:cs="Arial"/>
                <w:b/>
                <w:bCs/>
                <w:color w:val="000000"/>
                <w:sz w:val="20"/>
                <w:szCs w:val="20"/>
              </w:rPr>
              <w:t> </w:t>
            </w:r>
          </w:p>
        </w:tc>
        <w:tc>
          <w:tcPr>
            <w:tcW w:w="2800" w:type="dxa"/>
            <w:tcBorders>
              <w:top w:val="nil"/>
              <w:left w:val="nil"/>
              <w:bottom w:val="single" w:sz="4" w:space="0" w:color="auto"/>
              <w:right w:val="single" w:sz="4" w:space="0" w:color="auto"/>
            </w:tcBorders>
            <w:shd w:val="clear" w:color="000000" w:fill="9BC2E6"/>
            <w:noWrap/>
            <w:vAlign w:val="bottom"/>
            <w:hideMark/>
          </w:tcPr>
          <w:p w14:paraId="68055379" w14:textId="77777777" w:rsidR="003722C1" w:rsidRPr="003722C1" w:rsidRDefault="003722C1" w:rsidP="003722C1">
            <w:pPr>
              <w:rPr>
                <w:rFonts w:ascii="Arial" w:eastAsia="Times New Roman" w:hAnsi="Arial" w:cs="Arial"/>
                <w:b/>
                <w:bCs/>
                <w:color w:val="000000"/>
                <w:sz w:val="20"/>
                <w:szCs w:val="20"/>
              </w:rPr>
            </w:pPr>
            <w:r w:rsidRPr="003722C1">
              <w:rPr>
                <w:rFonts w:ascii="Arial" w:eastAsia="Times New Roman" w:hAnsi="Arial" w:cs="Arial"/>
                <w:b/>
                <w:bCs/>
                <w:color w:val="000000"/>
                <w:sz w:val="20"/>
                <w:szCs w:val="20"/>
              </w:rPr>
              <w:t>Cover Crop Subtotal</w:t>
            </w:r>
          </w:p>
        </w:tc>
        <w:tc>
          <w:tcPr>
            <w:tcW w:w="820" w:type="dxa"/>
            <w:tcBorders>
              <w:top w:val="nil"/>
              <w:left w:val="nil"/>
              <w:bottom w:val="single" w:sz="4" w:space="0" w:color="auto"/>
              <w:right w:val="single" w:sz="4" w:space="0" w:color="auto"/>
            </w:tcBorders>
            <w:shd w:val="clear" w:color="000000" w:fill="9BC2E6"/>
            <w:noWrap/>
            <w:vAlign w:val="bottom"/>
            <w:hideMark/>
          </w:tcPr>
          <w:p w14:paraId="2F602E09" w14:textId="77777777" w:rsidR="003722C1" w:rsidRPr="003722C1" w:rsidRDefault="003722C1" w:rsidP="003722C1">
            <w:pPr>
              <w:jc w:val="right"/>
              <w:rPr>
                <w:rFonts w:ascii="Arial" w:eastAsia="Times New Roman" w:hAnsi="Arial" w:cs="Arial"/>
                <w:b/>
                <w:bCs/>
                <w:color w:val="000000"/>
                <w:sz w:val="20"/>
                <w:szCs w:val="20"/>
              </w:rPr>
            </w:pPr>
            <w:r w:rsidRPr="003722C1">
              <w:rPr>
                <w:rFonts w:ascii="Arial" w:eastAsia="Times New Roman" w:hAnsi="Arial" w:cs="Arial"/>
                <w:b/>
                <w:bCs/>
                <w:color w:val="000000"/>
                <w:sz w:val="20"/>
                <w:szCs w:val="20"/>
              </w:rPr>
              <w:t>25.00</w:t>
            </w:r>
          </w:p>
        </w:tc>
        <w:tc>
          <w:tcPr>
            <w:tcW w:w="1006" w:type="dxa"/>
            <w:tcBorders>
              <w:top w:val="nil"/>
              <w:left w:val="nil"/>
              <w:bottom w:val="single" w:sz="4" w:space="0" w:color="auto"/>
              <w:right w:val="single" w:sz="4" w:space="0" w:color="auto"/>
            </w:tcBorders>
            <w:shd w:val="clear" w:color="000000" w:fill="9BC2E6"/>
            <w:noWrap/>
            <w:vAlign w:val="bottom"/>
            <w:hideMark/>
          </w:tcPr>
          <w:p w14:paraId="17D2EA63" w14:textId="77777777" w:rsidR="003722C1" w:rsidRPr="003722C1" w:rsidRDefault="003722C1" w:rsidP="003722C1">
            <w:pPr>
              <w:jc w:val="right"/>
              <w:rPr>
                <w:rFonts w:ascii="Arial" w:eastAsia="Times New Roman" w:hAnsi="Arial" w:cs="Arial"/>
                <w:b/>
                <w:bCs/>
                <w:color w:val="000000"/>
                <w:sz w:val="20"/>
                <w:szCs w:val="20"/>
              </w:rPr>
            </w:pPr>
            <w:r w:rsidRPr="003722C1">
              <w:rPr>
                <w:rFonts w:ascii="Arial" w:eastAsia="Times New Roman" w:hAnsi="Arial" w:cs="Arial"/>
                <w:b/>
                <w:bCs/>
                <w:color w:val="000000"/>
                <w:sz w:val="20"/>
                <w:szCs w:val="20"/>
              </w:rPr>
              <w:t>66.49%</w:t>
            </w:r>
          </w:p>
        </w:tc>
        <w:tc>
          <w:tcPr>
            <w:tcW w:w="1106" w:type="dxa"/>
            <w:tcBorders>
              <w:top w:val="nil"/>
              <w:left w:val="nil"/>
              <w:bottom w:val="single" w:sz="4" w:space="0" w:color="auto"/>
              <w:right w:val="single" w:sz="4" w:space="0" w:color="auto"/>
            </w:tcBorders>
            <w:shd w:val="clear" w:color="000000" w:fill="9BC2E6"/>
            <w:noWrap/>
            <w:vAlign w:val="bottom"/>
            <w:hideMark/>
          </w:tcPr>
          <w:p w14:paraId="117686A6" w14:textId="77777777" w:rsidR="003722C1" w:rsidRPr="003722C1" w:rsidRDefault="003722C1" w:rsidP="003722C1">
            <w:pPr>
              <w:jc w:val="right"/>
              <w:rPr>
                <w:rFonts w:ascii="Arial" w:eastAsia="Times New Roman" w:hAnsi="Arial" w:cs="Arial"/>
                <w:b/>
                <w:bCs/>
                <w:color w:val="000000"/>
                <w:sz w:val="20"/>
                <w:szCs w:val="20"/>
              </w:rPr>
            </w:pPr>
            <w:r w:rsidRPr="003722C1">
              <w:rPr>
                <w:rFonts w:ascii="Arial" w:eastAsia="Times New Roman" w:hAnsi="Arial" w:cs="Arial"/>
                <w:b/>
                <w:bCs/>
                <w:color w:val="000000"/>
                <w:sz w:val="20"/>
                <w:szCs w:val="20"/>
              </w:rPr>
              <w:t>11.14</w:t>
            </w:r>
          </w:p>
        </w:tc>
        <w:tc>
          <w:tcPr>
            <w:tcW w:w="1106" w:type="dxa"/>
            <w:tcBorders>
              <w:top w:val="nil"/>
              <w:left w:val="nil"/>
              <w:bottom w:val="single" w:sz="4" w:space="0" w:color="auto"/>
              <w:right w:val="single" w:sz="4" w:space="0" w:color="auto"/>
            </w:tcBorders>
            <w:shd w:val="clear" w:color="000000" w:fill="9BC2E6"/>
            <w:noWrap/>
            <w:vAlign w:val="bottom"/>
            <w:hideMark/>
          </w:tcPr>
          <w:p w14:paraId="0B184801" w14:textId="77777777" w:rsidR="003722C1" w:rsidRPr="003722C1" w:rsidRDefault="003722C1" w:rsidP="003722C1">
            <w:pPr>
              <w:jc w:val="right"/>
              <w:rPr>
                <w:rFonts w:ascii="Arial" w:eastAsia="Times New Roman" w:hAnsi="Arial" w:cs="Arial"/>
                <w:b/>
                <w:bCs/>
                <w:color w:val="000000"/>
                <w:sz w:val="20"/>
                <w:szCs w:val="20"/>
              </w:rPr>
            </w:pPr>
            <w:r w:rsidRPr="003722C1">
              <w:rPr>
                <w:rFonts w:ascii="Arial" w:eastAsia="Times New Roman" w:hAnsi="Arial" w:cs="Arial"/>
                <w:b/>
                <w:bCs/>
                <w:color w:val="000000"/>
                <w:sz w:val="20"/>
                <w:szCs w:val="20"/>
              </w:rPr>
              <w:t>14.37%</w:t>
            </w:r>
          </w:p>
        </w:tc>
      </w:tr>
      <w:tr w:rsidR="003722C1" w:rsidRPr="003722C1" w14:paraId="552CCEFE" w14:textId="77777777" w:rsidTr="00606E28">
        <w:trPr>
          <w:trHeight w:val="255"/>
        </w:trPr>
        <w:tc>
          <w:tcPr>
            <w:tcW w:w="951" w:type="dxa"/>
            <w:tcBorders>
              <w:top w:val="nil"/>
              <w:left w:val="single" w:sz="4" w:space="0" w:color="auto"/>
              <w:bottom w:val="single" w:sz="4" w:space="0" w:color="auto"/>
              <w:right w:val="single" w:sz="4" w:space="0" w:color="auto"/>
            </w:tcBorders>
            <w:shd w:val="clear" w:color="000000" w:fill="9BC2E6"/>
            <w:noWrap/>
            <w:vAlign w:val="bottom"/>
            <w:hideMark/>
          </w:tcPr>
          <w:p w14:paraId="317D2FD5" w14:textId="77777777" w:rsidR="003722C1" w:rsidRPr="003722C1" w:rsidRDefault="003722C1" w:rsidP="003722C1">
            <w:pPr>
              <w:rPr>
                <w:rFonts w:ascii="Arial" w:eastAsia="Times New Roman" w:hAnsi="Arial" w:cs="Arial"/>
                <w:b/>
                <w:bCs/>
                <w:color w:val="000000"/>
                <w:sz w:val="20"/>
                <w:szCs w:val="20"/>
              </w:rPr>
            </w:pPr>
            <w:r w:rsidRPr="003722C1">
              <w:rPr>
                <w:rFonts w:ascii="Arial" w:eastAsia="Times New Roman" w:hAnsi="Arial" w:cs="Arial"/>
                <w:b/>
                <w:bCs/>
                <w:color w:val="000000"/>
                <w:sz w:val="20"/>
                <w:szCs w:val="20"/>
              </w:rPr>
              <w:t> </w:t>
            </w:r>
          </w:p>
        </w:tc>
        <w:tc>
          <w:tcPr>
            <w:tcW w:w="1960" w:type="dxa"/>
            <w:tcBorders>
              <w:top w:val="nil"/>
              <w:left w:val="nil"/>
              <w:bottom w:val="single" w:sz="4" w:space="0" w:color="auto"/>
              <w:right w:val="single" w:sz="4" w:space="0" w:color="auto"/>
            </w:tcBorders>
            <w:shd w:val="clear" w:color="000000" w:fill="9BC2E6"/>
            <w:noWrap/>
            <w:vAlign w:val="bottom"/>
            <w:hideMark/>
          </w:tcPr>
          <w:p w14:paraId="2AA0C556" w14:textId="77777777" w:rsidR="003722C1" w:rsidRPr="003722C1" w:rsidRDefault="003722C1" w:rsidP="003722C1">
            <w:pPr>
              <w:rPr>
                <w:rFonts w:ascii="Arial" w:eastAsia="Times New Roman" w:hAnsi="Arial" w:cs="Arial"/>
                <w:b/>
                <w:bCs/>
                <w:color w:val="000000"/>
                <w:sz w:val="20"/>
                <w:szCs w:val="20"/>
              </w:rPr>
            </w:pPr>
            <w:r w:rsidRPr="003722C1">
              <w:rPr>
                <w:rFonts w:ascii="Arial" w:eastAsia="Times New Roman" w:hAnsi="Arial" w:cs="Arial"/>
                <w:b/>
                <w:bCs/>
                <w:color w:val="000000"/>
                <w:sz w:val="20"/>
                <w:szCs w:val="20"/>
              </w:rPr>
              <w:t> </w:t>
            </w:r>
          </w:p>
        </w:tc>
        <w:tc>
          <w:tcPr>
            <w:tcW w:w="2800" w:type="dxa"/>
            <w:tcBorders>
              <w:top w:val="nil"/>
              <w:left w:val="nil"/>
              <w:bottom w:val="single" w:sz="4" w:space="0" w:color="auto"/>
              <w:right w:val="single" w:sz="4" w:space="0" w:color="auto"/>
            </w:tcBorders>
            <w:shd w:val="clear" w:color="000000" w:fill="9BC2E6"/>
            <w:noWrap/>
            <w:vAlign w:val="bottom"/>
            <w:hideMark/>
          </w:tcPr>
          <w:p w14:paraId="74BF4E9A" w14:textId="77777777" w:rsidR="003722C1" w:rsidRPr="003722C1" w:rsidRDefault="003722C1" w:rsidP="003722C1">
            <w:pPr>
              <w:rPr>
                <w:rFonts w:ascii="Arial" w:eastAsia="Times New Roman" w:hAnsi="Arial" w:cs="Arial"/>
                <w:b/>
                <w:bCs/>
                <w:color w:val="000000"/>
                <w:sz w:val="20"/>
                <w:szCs w:val="20"/>
              </w:rPr>
            </w:pPr>
            <w:r w:rsidRPr="003722C1">
              <w:rPr>
                <w:rFonts w:ascii="Arial" w:eastAsia="Times New Roman" w:hAnsi="Arial" w:cs="Arial"/>
                <w:b/>
                <w:bCs/>
                <w:color w:val="000000"/>
                <w:sz w:val="20"/>
                <w:szCs w:val="20"/>
              </w:rPr>
              <w:t>Total</w:t>
            </w:r>
          </w:p>
        </w:tc>
        <w:tc>
          <w:tcPr>
            <w:tcW w:w="820" w:type="dxa"/>
            <w:tcBorders>
              <w:top w:val="nil"/>
              <w:left w:val="nil"/>
              <w:bottom w:val="single" w:sz="4" w:space="0" w:color="auto"/>
              <w:right w:val="single" w:sz="4" w:space="0" w:color="auto"/>
            </w:tcBorders>
            <w:shd w:val="clear" w:color="000000" w:fill="9BC2E6"/>
            <w:noWrap/>
            <w:vAlign w:val="bottom"/>
            <w:hideMark/>
          </w:tcPr>
          <w:p w14:paraId="6A376C65" w14:textId="77777777" w:rsidR="003722C1" w:rsidRPr="003722C1" w:rsidRDefault="003722C1" w:rsidP="003722C1">
            <w:pPr>
              <w:jc w:val="right"/>
              <w:rPr>
                <w:rFonts w:ascii="Arial" w:eastAsia="Times New Roman" w:hAnsi="Arial" w:cs="Arial"/>
                <w:b/>
                <w:bCs/>
                <w:color w:val="000000"/>
                <w:sz w:val="20"/>
                <w:szCs w:val="20"/>
              </w:rPr>
            </w:pPr>
            <w:r w:rsidRPr="003722C1">
              <w:rPr>
                <w:rFonts w:ascii="Arial" w:eastAsia="Times New Roman" w:hAnsi="Arial" w:cs="Arial"/>
                <w:b/>
                <w:bCs/>
                <w:color w:val="000000"/>
                <w:sz w:val="20"/>
                <w:szCs w:val="20"/>
              </w:rPr>
              <w:t>37.60</w:t>
            </w:r>
          </w:p>
        </w:tc>
        <w:tc>
          <w:tcPr>
            <w:tcW w:w="1006" w:type="dxa"/>
            <w:tcBorders>
              <w:top w:val="nil"/>
              <w:left w:val="nil"/>
              <w:bottom w:val="single" w:sz="4" w:space="0" w:color="auto"/>
              <w:right w:val="single" w:sz="4" w:space="0" w:color="auto"/>
            </w:tcBorders>
            <w:shd w:val="clear" w:color="000000" w:fill="9BC2E6"/>
            <w:noWrap/>
            <w:vAlign w:val="bottom"/>
            <w:hideMark/>
          </w:tcPr>
          <w:p w14:paraId="6B4641AB" w14:textId="77777777" w:rsidR="003722C1" w:rsidRPr="003722C1" w:rsidRDefault="003722C1" w:rsidP="003722C1">
            <w:pPr>
              <w:jc w:val="right"/>
              <w:rPr>
                <w:rFonts w:ascii="Arial" w:eastAsia="Times New Roman" w:hAnsi="Arial" w:cs="Arial"/>
                <w:b/>
                <w:bCs/>
                <w:color w:val="000000"/>
                <w:sz w:val="20"/>
                <w:szCs w:val="20"/>
              </w:rPr>
            </w:pPr>
            <w:r w:rsidRPr="003722C1">
              <w:rPr>
                <w:rFonts w:ascii="Arial" w:eastAsia="Times New Roman" w:hAnsi="Arial" w:cs="Arial"/>
                <w:b/>
                <w:bCs/>
                <w:color w:val="000000"/>
                <w:sz w:val="20"/>
                <w:szCs w:val="20"/>
              </w:rPr>
              <w:t>100.00%</w:t>
            </w:r>
          </w:p>
        </w:tc>
        <w:tc>
          <w:tcPr>
            <w:tcW w:w="1106" w:type="dxa"/>
            <w:tcBorders>
              <w:top w:val="nil"/>
              <w:left w:val="nil"/>
              <w:bottom w:val="single" w:sz="4" w:space="0" w:color="auto"/>
              <w:right w:val="single" w:sz="4" w:space="0" w:color="auto"/>
            </w:tcBorders>
            <w:shd w:val="clear" w:color="000000" w:fill="9BC2E6"/>
            <w:noWrap/>
            <w:vAlign w:val="bottom"/>
            <w:hideMark/>
          </w:tcPr>
          <w:p w14:paraId="01523B4E" w14:textId="77777777" w:rsidR="003722C1" w:rsidRPr="003722C1" w:rsidRDefault="003722C1" w:rsidP="003722C1">
            <w:pPr>
              <w:jc w:val="right"/>
              <w:rPr>
                <w:rFonts w:ascii="Arial" w:eastAsia="Times New Roman" w:hAnsi="Arial" w:cs="Arial"/>
                <w:b/>
                <w:bCs/>
                <w:color w:val="000000"/>
                <w:sz w:val="20"/>
                <w:szCs w:val="20"/>
              </w:rPr>
            </w:pPr>
            <w:r w:rsidRPr="003722C1">
              <w:rPr>
                <w:rFonts w:ascii="Arial" w:eastAsia="Times New Roman" w:hAnsi="Arial" w:cs="Arial"/>
                <w:b/>
                <w:bCs/>
                <w:color w:val="000000"/>
                <w:sz w:val="20"/>
                <w:szCs w:val="20"/>
              </w:rPr>
              <w:t>77.51</w:t>
            </w:r>
          </w:p>
        </w:tc>
        <w:tc>
          <w:tcPr>
            <w:tcW w:w="1106" w:type="dxa"/>
            <w:tcBorders>
              <w:top w:val="nil"/>
              <w:left w:val="nil"/>
              <w:bottom w:val="single" w:sz="4" w:space="0" w:color="auto"/>
              <w:right w:val="single" w:sz="4" w:space="0" w:color="auto"/>
            </w:tcBorders>
            <w:shd w:val="clear" w:color="000000" w:fill="9BC2E6"/>
            <w:noWrap/>
            <w:vAlign w:val="bottom"/>
            <w:hideMark/>
          </w:tcPr>
          <w:p w14:paraId="4AB9CE51" w14:textId="77777777" w:rsidR="003722C1" w:rsidRPr="003722C1" w:rsidRDefault="003722C1" w:rsidP="003722C1">
            <w:pPr>
              <w:jc w:val="right"/>
              <w:rPr>
                <w:rFonts w:ascii="Arial" w:eastAsia="Times New Roman" w:hAnsi="Arial" w:cs="Arial"/>
                <w:b/>
                <w:bCs/>
                <w:color w:val="000000"/>
                <w:sz w:val="20"/>
                <w:szCs w:val="20"/>
              </w:rPr>
            </w:pPr>
            <w:r w:rsidRPr="003722C1">
              <w:rPr>
                <w:rFonts w:ascii="Arial" w:eastAsia="Times New Roman" w:hAnsi="Arial" w:cs="Arial"/>
                <w:b/>
                <w:bCs/>
                <w:color w:val="000000"/>
                <w:sz w:val="20"/>
                <w:szCs w:val="20"/>
              </w:rPr>
              <w:t>100.00%</w:t>
            </w:r>
          </w:p>
        </w:tc>
      </w:tr>
    </w:tbl>
    <w:p w14:paraId="7EFE3845" w14:textId="77777777" w:rsidR="007A2E81" w:rsidRDefault="007A2E81" w:rsidP="00A0508F">
      <w:pPr>
        <w:rPr>
          <w:b/>
          <w:bCs/>
          <w:sz w:val="40"/>
          <w:szCs w:val="40"/>
        </w:rPr>
      </w:pPr>
    </w:p>
    <w:p w14:paraId="1448B471" w14:textId="77777777" w:rsidR="007A2E81" w:rsidRDefault="007A2E81" w:rsidP="00A0508F">
      <w:pPr>
        <w:rPr>
          <w:b/>
          <w:bCs/>
          <w:sz w:val="40"/>
          <w:szCs w:val="40"/>
        </w:rPr>
      </w:pPr>
    </w:p>
    <w:p w14:paraId="38AE34C5" w14:textId="77777777" w:rsidR="003722C1" w:rsidRDefault="003722C1" w:rsidP="00A0508F">
      <w:pPr>
        <w:rPr>
          <w:b/>
          <w:bCs/>
          <w:sz w:val="40"/>
          <w:szCs w:val="40"/>
        </w:rPr>
      </w:pPr>
    </w:p>
    <w:p w14:paraId="0956083D" w14:textId="77777777" w:rsidR="00EF59A6" w:rsidRDefault="00EF59A6" w:rsidP="00A0508F">
      <w:pPr>
        <w:rPr>
          <w:b/>
          <w:bCs/>
          <w:sz w:val="40"/>
          <w:szCs w:val="40"/>
        </w:rPr>
      </w:pPr>
    </w:p>
    <w:p w14:paraId="26F7B483" w14:textId="56954CC0" w:rsidR="00211590" w:rsidRPr="00211590" w:rsidRDefault="2F2EC836" w:rsidP="00A0508F">
      <w:pPr>
        <w:rPr>
          <w:b/>
          <w:bCs/>
          <w:sz w:val="40"/>
          <w:szCs w:val="40"/>
        </w:rPr>
      </w:pPr>
      <w:r w:rsidRPr="68896D37">
        <w:rPr>
          <w:b/>
          <w:bCs/>
          <w:sz w:val="40"/>
          <w:szCs w:val="40"/>
        </w:rPr>
        <w:lastRenderedPageBreak/>
        <w:t xml:space="preserve">Native </w:t>
      </w:r>
      <w:r w:rsidR="00AA5F8D" w:rsidRPr="68896D37">
        <w:rPr>
          <w:b/>
          <w:bCs/>
          <w:sz w:val="40"/>
          <w:szCs w:val="40"/>
        </w:rPr>
        <w:t xml:space="preserve">Construction General </w:t>
      </w:r>
      <w:r w:rsidR="00211590" w:rsidRPr="68896D37">
        <w:rPr>
          <w:b/>
          <w:bCs/>
          <w:sz w:val="40"/>
          <w:szCs w:val="40"/>
        </w:rPr>
        <w:t xml:space="preserve">Seed Mix Guidance </w:t>
      </w:r>
    </w:p>
    <w:p w14:paraId="7FAAAE53" w14:textId="77777777" w:rsidR="00CF2D0B" w:rsidRDefault="00CF2D0B" w:rsidP="00A0508F">
      <w:pPr>
        <w:rPr>
          <w:b/>
          <w:bCs/>
        </w:rPr>
      </w:pPr>
    </w:p>
    <w:p w14:paraId="388100E1" w14:textId="5483271C" w:rsidR="00CB5C05" w:rsidRPr="00CB5C05" w:rsidRDefault="00282A5E" w:rsidP="00CB5C05">
      <w:r w:rsidRPr="00282A5E">
        <w:rPr>
          <w:b/>
          <w:bCs/>
          <w:noProof/>
        </w:rPr>
        <mc:AlternateContent>
          <mc:Choice Requires="wps">
            <w:drawing>
              <wp:anchor distT="45720" distB="45720" distL="114300" distR="114300" simplePos="0" relativeHeight="251659264" behindDoc="0" locked="0" layoutInCell="1" allowOverlap="1" wp14:anchorId="19BD37AF" wp14:editId="3A15466B">
                <wp:simplePos x="0" y="0"/>
                <wp:positionH relativeFrom="margin">
                  <wp:align>right</wp:align>
                </wp:positionH>
                <wp:positionV relativeFrom="paragraph">
                  <wp:posOffset>177800</wp:posOffset>
                </wp:positionV>
                <wp:extent cx="4143375" cy="25622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2562225"/>
                        </a:xfrm>
                        <a:prstGeom prst="rect">
                          <a:avLst/>
                        </a:prstGeom>
                        <a:solidFill>
                          <a:srgbClr val="FFFFFF"/>
                        </a:solidFill>
                        <a:ln w="9525">
                          <a:noFill/>
                          <a:miter lim="800000"/>
                          <a:headEnd/>
                          <a:tailEnd/>
                        </a:ln>
                      </wps:spPr>
                      <wps:txbx>
                        <w:txbxContent>
                          <w:p w14:paraId="17F30970" w14:textId="29175E38" w:rsidR="00282A5E" w:rsidRDefault="00282A5E">
                            <w:r>
                              <w:rPr>
                                <w:noProof/>
                              </w:rPr>
                              <w:drawing>
                                <wp:inline distT="0" distB="0" distL="0" distR="0" wp14:anchorId="0917B90A" wp14:editId="16CE0F5A">
                                  <wp:extent cx="3281045" cy="24618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1045" cy="24618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D37AF" id="_x0000_s1029" type="#_x0000_t202" style="position:absolute;margin-left:275.05pt;margin-top:14pt;width:326.25pt;height:201.7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" stroked="f">
                <v:textbox>
                  <w:txbxContent>
                    <w:p w14:paraId="17F30970" w14:textId="29175E38" w:rsidR="00282A5E" w:rsidRDefault="00282A5E">
                      <w:r>
                        <w:rPr>
                          <w:noProof/>
                        </w:rPr>
                        <w:drawing>
                          <wp:inline distT="0" distB="0" distL="0" distR="0" wp14:anchorId="0917B90A" wp14:editId="16CE0F5A">
                            <wp:extent cx="3281045" cy="24618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1045" cy="2461895"/>
                                    </a:xfrm>
                                    <a:prstGeom prst="rect">
                                      <a:avLst/>
                                    </a:prstGeom>
                                    <a:noFill/>
                                    <a:ln>
                                      <a:noFill/>
                                    </a:ln>
                                  </pic:spPr>
                                </pic:pic>
                              </a:graphicData>
                            </a:graphic>
                          </wp:inline>
                        </w:drawing>
                      </w:r>
                    </w:p>
                  </w:txbxContent>
                </v:textbox>
                <w10:wrap type="square" anchorx="margin"/>
              </v:shape>
            </w:pict>
          </mc:Fallback>
        </mc:AlternateContent>
      </w:r>
      <w:r w:rsidR="00CB5C05" w:rsidRPr="00CB5C05">
        <w:rPr>
          <w:b/>
          <w:bCs/>
        </w:rPr>
        <w:t>Seed mix name:</w:t>
      </w:r>
      <w:r w:rsidR="00CB5C05" w:rsidRPr="00CB5C05">
        <w:t xml:space="preserve"> </w:t>
      </w:r>
      <w:r w:rsidR="5F98CA7B" w:rsidRPr="00CB5C05">
        <w:t>Native</w:t>
      </w:r>
      <w:r w:rsidR="00AA5F8D">
        <w:t xml:space="preserve"> Construction </w:t>
      </w:r>
      <w:r w:rsidR="4E9DFA3C">
        <w:t>32-24</w:t>
      </w:r>
      <w:r w:rsidR="004C403A">
        <w:t>2</w:t>
      </w:r>
    </w:p>
    <w:p w14:paraId="480B9BFE" w14:textId="27567DDF" w:rsidR="00CB5C05" w:rsidRPr="00CB5C05" w:rsidRDefault="00CB5C05" w:rsidP="00CB5C05">
      <w:r w:rsidRPr="00CB5C05">
        <w:rPr>
          <w:b/>
          <w:bCs/>
        </w:rPr>
        <w:t>Geographic area:</w:t>
      </w:r>
      <w:r w:rsidRPr="00CB5C05">
        <w:t xml:space="preserve"> </w:t>
      </w:r>
      <w:r w:rsidR="005966A9">
        <w:t>S</w:t>
      </w:r>
      <w:r w:rsidR="00AA5F8D">
        <w:t>tatewide</w:t>
      </w:r>
      <w:r w:rsidR="005966A9">
        <w:t xml:space="preserve"> </w:t>
      </w:r>
      <w:r w:rsidRPr="00CB5C05">
        <w:t xml:space="preserve"> </w:t>
      </w:r>
    </w:p>
    <w:p w14:paraId="006C3A77" w14:textId="4304FA68" w:rsidR="00CB5C05" w:rsidRPr="00CB5C05" w:rsidRDefault="00CB5C05" w:rsidP="00CB5C05">
      <w:r w:rsidRPr="68896D37">
        <w:rPr>
          <w:b/>
          <w:bCs/>
        </w:rPr>
        <w:t>Year of development:</w:t>
      </w:r>
      <w:r>
        <w:t>20</w:t>
      </w:r>
      <w:r w:rsidR="2F704465">
        <w:t>09</w:t>
      </w:r>
    </w:p>
    <w:p w14:paraId="530B9CE1" w14:textId="1E9FC0CA" w:rsidR="00CB5C05" w:rsidRPr="00CB5C05" w:rsidRDefault="00CB5C05" w:rsidP="00CB5C05">
      <w:r w:rsidRPr="68896D37">
        <w:rPr>
          <w:b/>
          <w:bCs/>
        </w:rPr>
        <w:t>Year/s of update:</w:t>
      </w:r>
      <w:r>
        <w:t xml:space="preserve"> </w:t>
      </w:r>
      <w:r w:rsidR="2A8B7093">
        <w:t>2023</w:t>
      </w:r>
      <w:r>
        <w:t xml:space="preserve"> </w:t>
      </w:r>
    </w:p>
    <w:p w14:paraId="7F8E3FAC" w14:textId="76FE6085" w:rsidR="00CB5C05" w:rsidRPr="00CB5C05" w:rsidRDefault="00CB5C05" w:rsidP="00CB5C05">
      <w:r w:rsidRPr="00CB5C05">
        <w:rPr>
          <w:b/>
          <w:bCs/>
        </w:rPr>
        <w:t>Status</w:t>
      </w:r>
      <w:r w:rsidRPr="00CB5C05">
        <w:t xml:space="preserve"> (Standard or Pilot mix): </w:t>
      </w:r>
      <w:r w:rsidR="00AA5F8D">
        <w:t>Pilot</w:t>
      </w:r>
    </w:p>
    <w:p w14:paraId="0F2DB049" w14:textId="77777777" w:rsidR="00CB5C05" w:rsidRPr="00CB5C05" w:rsidRDefault="00CB5C05" w:rsidP="00CB5C05">
      <w:pPr>
        <w:rPr>
          <w:b/>
          <w:bCs/>
        </w:rPr>
      </w:pPr>
      <w:r w:rsidRPr="00CB5C05">
        <w:rPr>
          <w:b/>
          <w:bCs/>
        </w:rPr>
        <w:t xml:space="preserve">Primary and Secondary Functions: </w:t>
      </w:r>
    </w:p>
    <w:p w14:paraId="66D08B4D" w14:textId="025B7E2C" w:rsidR="00CB5C05" w:rsidRPr="00CB5C05" w:rsidRDefault="00CB5C05" w:rsidP="00CB5C05">
      <w:r w:rsidRPr="00CB5C05">
        <w:rPr>
          <w:i/>
          <w:iCs/>
          <w:color w:val="4472C4" w:themeColor="accent1"/>
        </w:rPr>
        <w:t>Primary</w:t>
      </w:r>
      <w:r w:rsidRPr="00CB5C05">
        <w:t xml:space="preserve"> – </w:t>
      </w:r>
      <w:r w:rsidR="00AA5F8D">
        <w:t xml:space="preserve">Soil stabilization, </w:t>
      </w:r>
      <w:r w:rsidR="005966A9">
        <w:t>wetland functions, and water management</w:t>
      </w:r>
      <w:r w:rsidRPr="00CB5C05">
        <w:t xml:space="preserve">   </w:t>
      </w:r>
    </w:p>
    <w:p w14:paraId="697CFE4F" w14:textId="58B70041" w:rsidR="00CB5C05" w:rsidRPr="00CB5C05" w:rsidRDefault="00CB5C05" w:rsidP="00CB5C05">
      <w:r w:rsidRPr="00CB5C05">
        <w:rPr>
          <w:i/>
          <w:iCs/>
          <w:color w:val="4472C4" w:themeColor="accent1"/>
        </w:rPr>
        <w:t>Secondary</w:t>
      </w:r>
      <w:r w:rsidRPr="00CB5C05">
        <w:t xml:space="preserve"> – </w:t>
      </w:r>
      <w:r w:rsidR="00AA5F8D">
        <w:t xml:space="preserve">Wildlife habitat, </w:t>
      </w:r>
    </w:p>
    <w:p w14:paraId="5FF55EBB" w14:textId="3629138E" w:rsidR="00AA5F8D" w:rsidRDefault="00CB5C05" w:rsidP="68896D37">
      <w:pPr>
        <w:spacing w:line="257" w:lineRule="auto"/>
        <w:rPr>
          <w:rFonts w:eastAsia="Calibri"/>
        </w:rPr>
      </w:pPr>
      <w:r w:rsidRPr="68896D37">
        <w:rPr>
          <w:b/>
          <w:bCs/>
        </w:rPr>
        <w:t>Similar State Mixes:</w:t>
      </w:r>
      <w:r>
        <w:t xml:space="preserve"> </w:t>
      </w:r>
      <w:r w:rsidR="227A5055" w:rsidRPr="68896D37">
        <w:rPr>
          <w:rFonts w:eastAsia="Calibri"/>
        </w:rPr>
        <w:t>35-24</w:t>
      </w:r>
      <w:r w:rsidR="004C403A">
        <w:rPr>
          <w:rFonts w:eastAsia="Calibri"/>
        </w:rPr>
        <w:t>2</w:t>
      </w:r>
      <w:r w:rsidR="227A5055" w:rsidRPr="68896D37">
        <w:rPr>
          <w:rFonts w:eastAsia="Calibri"/>
        </w:rPr>
        <w:t xml:space="preserve"> Mesic Prairie General, 35-44</w:t>
      </w:r>
      <w:r w:rsidR="004C403A">
        <w:rPr>
          <w:rFonts w:eastAsia="Calibri"/>
        </w:rPr>
        <w:t>2</w:t>
      </w:r>
      <w:r w:rsidR="227A5055" w:rsidRPr="68896D37">
        <w:rPr>
          <w:rFonts w:eastAsia="Calibri"/>
        </w:rPr>
        <w:t xml:space="preserve"> Mesic Prairie Northwest, 35-54</w:t>
      </w:r>
      <w:r w:rsidR="004C403A">
        <w:rPr>
          <w:rFonts w:eastAsia="Calibri"/>
        </w:rPr>
        <w:t>2</w:t>
      </w:r>
      <w:r w:rsidR="227A5055" w:rsidRPr="68896D37">
        <w:rPr>
          <w:rFonts w:eastAsia="Calibri"/>
        </w:rPr>
        <w:t xml:space="preserve"> Mesic Prairie Southwest, 35-64</w:t>
      </w:r>
      <w:r w:rsidR="004C403A">
        <w:rPr>
          <w:rFonts w:eastAsia="Calibri"/>
        </w:rPr>
        <w:t>2</w:t>
      </w:r>
      <w:r w:rsidR="227A5055" w:rsidRPr="68896D37">
        <w:rPr>
          <w:rFonts w:eastAsia="Calibri"/>
        </w:rPr>
        <w:t xml:space="preserve"> Mesic Prairie Southeast, </w:t>
      </w:r>
    </w:p>
    <w:p w14:paraId="1A002532" w14:textId="62A231E7" w:rsidR="00AA5F8D" w:rsidRDefault="00AA5F8D" w:rsidP="68896D37"/>
    <w:p w14:paraId="07B60716" w14:textId="7733A18B" w:rsidR="00CF2D0B" w:rsidRPr="00FF1096" w:rsidRDefault="00740B8B" w:rsidP="00CB5C05">
      <w:pPr>
        <w:rPr>
          <w:b/>
          <w:bCs/>
        </w:rPr>
      </w:pPr>
      <w:r w:rsidRPr="00FF1096">
        <w:rPr>
          <w:b/>
          <w:bCs/>
        </w:rPr>
        <w:t>Compatible</w:t>
      </w:r>
      <w:r w:rsidR="00CF2D0B" w:rsidRPr="00FF1096">
        <w:rPr>
          <w:b/>
          <w:bCs/>
        </w:rPr>
        <w:t xml:space="preserve"> NRCS Practice Standards: </w:t>
      </w:r>
      <w:r w:rsidR="00AA5F8D" w:rsidRPr="00AA5F8D">
        <w:t>NA</w:t>
      </w:r>
    </w:p>
    <w:p w14:paraId="45543DA0" w14:textId="76AF0DAB" w:rsidR="00CF2D0B" w:rsidRPr="00FF1096" w:rsidRDefault="00CF2D0B" w:rsidP="00CB5C05">
      <w:pPr>
        <w:rPr>
          <w:b/>
          <w:bCs/>
        </w:rPr>
      </w:pPr>
      <w:r w:rsidRPr="00FF1096">
        <w:rPr>
          <w:b/>
          <w:bCs/>
        </w:rPr>
        <w:t xml:space="preserve">Compatible Minnesota CRP Practices: </w:t>
      </w:r>
      <w:r w:rsidR="00AA5F8D" w:rsidRPr="00AA5F8D">
        <w:t>NA</w:t>
      </w:r>
    </w:p>
    <w:p w14:paraId="3C78000F" w14:textId="1EC16F1B" w:rsidR="00CB5C05" w:rsidRPr="00CB5C05" w:rsidRDefault="00CB5C05" w:rsidP="00CB5C05">
      <w:r w:rsidRPr="68896D37">
        <w:rPr>
          <w:b/>
          <w:bCs/>
        </w:rPr>
        <w:t>Suitable Site Conditions:</w:t>
      </w:r>
      <w:r>
        <w:t xml:space="preserve"> </w:t>
      </w:r>
      <w:r w:rsidR="00AA5F8D">
        <w:t xml:space="preserve">Constructed components of restoration projects such as embankments, berms, ditch plugs and other areas of construction. The mix contains a combination of </w:t>
      </w:r>
      <w:r w:rsidR="30A6A272">
        <w:t>moist soil</w:t>
      </w:r>
      <w:r w:rsidR="00AA5F8D">
        <w:t xml:space="preserve"> and upland species to accommodate a variety of hydrology conditions. The mix also includes a combination of early, </w:t>
      </w:r>
      <w:proofErr w:type="gramStart"/>
      <w:r w:rsidR="00AA5F8D">
        <w:t>mid</w:t>
      </w:r>
      <w:proofErr w:type="gramEnd"/>
      <w:r w:rsidR="00AA5F8D">
        <w:t xml:space="preserve"> and late successional species. </w:t>
      </w:r>
      <w:r>
        <w:t xml:space="preserve"> </w:t>
      </w:r>
    </w:p>
    <w:p w14:paraId="62A72413" w14:textId="11285912" w:rsidR="00CB5C05" w:rsidRPr="00CB5C05" w:rsidRDefault="00CB5C05" w:rsidP="00CB5C05">
      <w:r w:rsidRPr="00CB5C05">
        <w:rPr>
          <w:b/>
          <w:bCs/>
        </w:rPr>
        <w:t>How to Modify for Site Conditions and Goals:</w:t>
      </w:r>
      <w:r w:rsidRPr="00CB5C05">
        <w:t xml:space="preserve"> This mix includes a list of additional species that can be considered to add species diversity. Site conditions such as sunlight, soils, </w:t>
      </w:r>
      <w:proofErr w:type="gramStart"/>
      <w:r w:rsidRPr="00CB5C05">
        <w:t>hydrology</w:t>
      </w:r>
      <w:proofErr w:type="gramEnd"/>
      <w:r w:rsidRPr="00CB5C05">
        <w:t xml:space="preserve"> and existing vegetation along with functional goals for the project such as carbon sequestration, pollinator habitat, and benefit to bird species can all have an influence on species selection and the modification of seed mixes. </w:t>
      </w:r>
      <w:r w:rsidR="005966A9">
        <w:t xml:space="preserve">Additional plant species can also be added from containerized plants. </w:t>
      </w:r>
      <w:r w:rsidR="0038586B">
        <w:t>It is also common that seed substitutions (</w:t>
      </w:r>
      <w:hyperlink r:id="rId12" w:history="1">
        <w:r w:rsidR="0038586B" w:rsidRPr="0038586B">
          <w:rPr>
            <w:rStyle w:val="Hyperlink"/>
          </w:rPr>
          <w:t>see list</w:t>
        </w:r>
      </w:hyperlink>
      <w:r w:rsidR="0038586B">
        <w:t xml:space="preserve">) are used for wetland seed mixes when other species are not available. </w:t>
      </w:r>
    </w:p>
    <w:p w14:paraId="10A2FF49" w14:textId="29DAC978" w:rsidR="002E29D0" w:rsidRDefault="00CB5C05" w:rsidP="002E29D0">
      <w:r w:rsidRPr="009B075A">
        <w:rPr>
          <w:b/>
          <w:bCs/>
          <w:color w:val="000000"/>
        </w:rPr>
        <w:t>Site Preparation:</w:t>
      </w:r>
      <w:r w:rsidRPr="009B075A">
        <w:rPr>
          <w:color w:val="000000"/>
          <w:sz w:val="24"/>
          <w:szCs w:val="24"/>
        </w:rPr>
        <w:t xml:space="preserve">  </w:t>
      </w:r>
      <w:r w:rsidRPr="009B075A">
        <w:rPr>
          <w:color w:val="000000"/>
        </w:rPr>
        <w:t>Primary goals for site preparation tend to focus on controlling weed species and providing ideal</w:t>
      </w:r>
      <w:r w:rsidRPr="00CB5C05">
        <w:rPr>
          <w:color w:val="000000"/>
        </w:rPr>
        <w:t xml:space="preserve"> growing conditions for seed or plants to be installed</w:t>
      </w:r>
      <w:r w:rsidR="00976D3C">
        <w:rPr>
          <w:color w:val="000000"/>
        </w:rPr>
        <w:t xml:space="preserve"> as well as loosening compaction of construction areas to allow for suitable growing conditions. It is important this seed mix is not seeded on hard crusted areas. It is best to seed the mix shortly after construction is completed and soils are still soft and moist or after additional disking and harrowing of the soil surface to sure that good seed to soil contact is accomplished. </w:t>
      </w:r>
      <w:r w:rsidRPr="00FF1096">
        <w:rPr>
          <w:color w:val="000000"/>
        </w:rPr>
        <w:t>If a</w:t>
      </w:r>
      <w:r w:rsidR="00976D3C">
        <w:rPr>
          <w:color w:val="000000"/>
        </w:rPr>
        <w:t xml:space="preserve">n area to be seeded is in </w:t>
      </w:r>
      <w:r w:rsidRPr="00FF1096">
        <w:rPr>
          <w:color w:val="000000"/>
        </w:rPr>
        <w:t xml:space="preserve">perennial weeds such as smooth brome, quack grass or bluegrass and cannot be put </w:t>
      </w:r>
      <w:r w:rsidR="00976D3C">
        <w:rPr>
          <w:color w:val="000000"/>
        </w:rPr>
        <w:t xml:space="preserve">controlled as part of other site preparation activities for larger areas </w:t>
      </w:r>
      <w:r w:rsidRPr="00FF1096">
        <w:rPr>
          <w:color w:val="000000"/>
        </w:rPr>
        <w:t>intensive site preparation may be needed. Herbicide application is often recommended, as tilling alone may re-suspend the rhizomes, allowing them to continue growing.</w:t>
      </w:r>
      <w:r w:rsidR="002E29D0" w:rsidRPr="00251242">
        <w:t xml:space="preserve"> </w:t>
      </w:r>
      <w:r w:rsidR="002E29D0" w:rsidRPr="002F2A64">
        <w:t xml:space="preserve">For species such as reed canary grass and giant reed grass, </w:t>
      </w:r>
      <w:r w:rsidR="00FF1096">
        <w:t xml:space="preserve">cropping with chemicals that break down quickly, or </w:t>
      </w:r>
      <w:r w:rsidR="002E29D0" w:rsidRPr="002F2A64">
        <w:t>combinations of mowing, herbicide application, prescribed burning, and tilling (or possibly additional herbicide appl</w:t>
      </w:r>
      <w:r w:rsidR="002E29D0" w:rsidRPr="00251242">
        <w:t xml:space="preserve">ication) may be needed. The </w:t>
      </w:r>
      <w:r w:rsidR="002E29D0" w:rsidRPr="00251242">
        <w:rPr>
          <w:color w:val="0000FF"/>
        </w:rPr>
        <w:t xml:space="preserve">Minnesota Wetland Restoration Guide </w:t>
      </w:r>
      <w:r w:rsidR="002E29D0" w:rsidRPr="00251242">
        <w:t>provides</w:t>
      </w:r>
      <w:r w:rsidR="002E29D0">
        <w:t xml:space="preserve"> detailed management recommendations for a wide range of species.</w:t>
      </w:r>
    </w:p>
    <w:p w14:paraId="09C6B28C" w14:textId="77777777" w:rsidR="00FF1096" w:rsidRDefault="00FF1096" w:rsidP="00CB5C05">
      <w:pPr>
        <w:rPr>
          <w:b/>
          <w:bCs/>
        </w:rPr>
      </w:pPr>
    </w:p>
    <w:p w14:paraId="00849A3C" w14:textId="6003B86A" w:rsidR="00CB5C05" w:rsidRPr="00CB5C05" w:rsidRDefault="00CB5C05" w:rsidP="00CB5C05">
      <w:pPr>
        <w:rPr>
          <w:b/>
          <w:bCs/>
        </w:rPr>
      </w:pPr>
      <w:r w:rsidRPr="00CB5C05">
        <w:rPr>
          <w:b/>
          <w:bCs/>
        </w:rPr>
        <w:t xml:space="preserve">Seeding Dates: </w:t>
      </w:r>
    </w:p>
    <w:p w14:paraId="09DE1AA1" w14:textId="6D361216" w:rsidR="002E29D0" w:rsidRDefault="00976D3C" w:rsidP="002E29D0">
      <w:r>
        <w:rPr>
          <w:color w:val="000000"/>
        </w:rPr>
        <w:t xml:space="preserve">As this seed mix has a dominance of grasses which establish well in the spring this mix can be installed </w:t>
      </w:r>
      <w:r w:rsidRPr="00CB5C05">
        <w:rPr>
          <w:color w:val="000000"/>
        </w:rPr>
        <w:t>once soil temperatures reach 50 degrees Fahrenheit until June 30</w:t>
      </w:r>
      <w:r w:rsidRPr="00CB5C05">
        <w:rPr>
          <w:color w:val="000000"/>
          <w:vertAlign w:val="superscript"/>
        </w:rPr>
        <w:t>th</w:t>
      </w:r>
      <w:r>
        <w:rPr>
          <w:color w:val="000000"/>
        </w:rPr>
        <w:t xml:space="preserve">. </w:t>
      </w:r>
      <w:r w:rsidRPr="00700B6E">
        <w:rPr>
          <w:color w:val="000000"/>
        </w:rPr>
        <w:t xml:space="preserve">If a wetland project will be constructed in the </w:t>
      </w:r>
      <w:r w:rsidRPr="00700B6E">
        <w:rPr>
          <w:color w:val="000000"/>
        </w:rPr>
        <w:lastRenderedPageBreak/>
        <w:t xml:space="preserve">spring/early </w:t>
      </w:r>
      <w:r w:rsidR="008B5488" w:rsidRPr="00700B6E">
        <w:rPr>
          <w:color w:val="000000"/>
        </w:rPr>
        <w:t>summer</w:t>
      </w:r>
      <w:r w:rsidR="008B5488">
        <w:rPr>
          <w:color w:val="000000"/>
        </w:rPr>
        <w:t xml:space="preserve"> or</w:t>
      </w:r>
      <w:r w:rsidRPr="00700B6E">
        <w:rPr>
          <w:color w:val="000000"/>
        </w:rPr>
        <w:t xml:space="preserve"> will have flowing or fluctuating water levels it may be better to seed later in the spring after water levels stabilize. </w:t>
      </w:r>
      <w:r>
        <w:rPr>
          <w:color w:val="000000"/>
        </w:rPr>
        <w:t xml:space="preserve">The seed mixes can also be </w:t>
      </w:r>
      <w:r w:rsidR="005966A9">
        <w:rPr>
          <w:color w:val="000000"/>
        </w:rPr>
        <w:t>installed in the fall after October 15</w:t>
      </w:r>
      <w:r w:rsidR="005966A9" w:rsidRPr="005966A9">
        <w:rPr>
          <w:color w:val="000000"/>
          <w:vertAlign w:val="superscript"/>
        </w:rPr>
        <w:t>th</w:t>
      </w:r>
      <w:r w:rsidR="005966A9">
        <w:rPr>
          <w:color w:val="000000"/>
        </w:rPr>
        <w:t xml:space="preserve"> as a dormant seeding</w:t>
      </w:r>
      <w:r>
        <w:rPr>
          <w:color w:val="000000"/>
        </w:rPr>
        <w:t xml:space="preserve">. </w:t>
      </w:r>
      <w:r w:rsidR="00AF326F">
        <w:t xml:space="preserve">It is also common to wait until shortly before snowfall to prevent the loss of seed from wind, </w:t>
      </w:r>
      <w:proofErr w:type="gramStart"/>
      <w:r w:rsidR="00AF326F">
        <w:t>birds</w:t>
      </w:r>
      <w:proofErr w:type="gramEnd"/>
      <w:r w:rsidR="00AF326F">
        <w:t xml:space="preserve"> and rodents. Snow seeding is conducted during early or late winter when there is less than four inches of snow, and on sunny days when seed can move to the soil surface. This technique has been successful for a wide variety of species types. Refer to the Minnesota Wetland Restoration Guide for more information about snow seeding. </w:t>
      </w:r>
      <w:r>
        <w:t>Wetland construction may be conducted at other times of year requiring seeding. Mid</w:t>
      </w:r>
      <w:r w:rsidR="004C403A">
        <w:t>-</w:t>
      </w:r>
      <w:r>
        <w:t xml:space="preserve">summer and mid fall are the two seasons that typically have the lowest success for seeding. Mid-summer can lead to poor establishment if there are drought conditions and mid fall can lead to some species germinating and the seedlings then need to survive through the winter. Early fall can sometimes be a successfully time to seed grasses, particularly if there is sufficient moisture and cooler temperatures. </w:t>
      </w:r>
    </w:p>
    <w:p w14:paraId="61558FA0" w14:textId="77777777" w:rsidR="002E29D0" w:rsidRPr="00CB5C05" w:rsidRDefault="002E29D0" w:rsidP="00CB5C05">
      <w:pPr>
        <w:rPr>
          <w:color w:val="000000"/>
        </w:rPr>
      </w:pPr>
    </w:p>
    <w:p w14:paraId="5EA5DF3F" w14:textId="77777777" w:rsidR="00CB5C05" w:rsidRPr="00CB5C05" w:rsidRDefault="00CB5C05" w:rsidP="00CB5C05">
      <w:pPr>
        <w:rPr>
          <w:b/>
          <w:bCs/>
        </w:rPr>
      </w:pPr>
      <w:r w:rsidRPr="00CB5C05">
        <w:rPr>
          <w:b/>
          <w:bCs/>
        </w:rPr>
        <w:t xml:space="preserve">Seedbed preparation </w:t>
      </w:r>
    </w:p>
    <w:p w14:paraId="1C7264A8" w14:textId="2737B6D5" w:rsidR="00CB5C05" w:rsidRPr="00CB5C05" w:rsidRDefault="00CB5C05" w:rsidP="00CB5C05">
      <w:pPr>
        <w:autoSpaceDE w:val="0"/>
        <w:autoSpaceDN w:val="0"/>
        <w:adjustRightInd w:val="0"/>
        <w:rPr>
          <w:color w:val="000000"/>
        </w:rPr>
      </w:pPr>
      <w:r w:rsidRPr="00CB5C05">
        <w:rPr>
          <w:color w:val="000000"/>
        </w:rPr>
        <w:t xml:space="preserve">Methods that are used to prepare a seedbed can vary depending on the type of seeding equipment to be used. If a traditional native seed drill will be used, a smooth, firm seedbed is required. </w:t>
      </w:r>
      <w:r w:rsidR="00976D3C">
        <w:rPr>
          <w:color w:val="000000"/>
        </w:rPr>
        <w:t>S</w:t>
      </w:r>
      <w:r w:rsidRPr="00CB5C05">
        <w:rPr>
          <w:color w:val="000000"/>
        </w:rPr>
        <w:t xml:space="preserve">ites that were recently tilled will require additional soil treatment such as harrowing and rolling to prepare an adequate seedbed and prevent seed from being buried too deep. Broadcast seeding can be conducted on soybean or corn fields, or fields that have been disked, </w:t>
      </w:r>
      <w:proofErr w:type="gramStart"/>
      <w:r w:rsidRPr="00CB5C05">
        <w:rPr>
          <w:color w:val="000000"/>
        </w:rPr>
        <w:t>as long as</w:t>
      </w:r>
      <w:proofErr w:type="gramEnd"/>
      <w:r w:rsidRPr="00CB5C05">
        <w:rPr>
          <w:color w:val="000000"/>
        </w:rPr>
        <w:t xml:space="preserve"> the soil is allowed to settle before seeding. Some practitioners have found that broadcast seeding on a smooth surface (not tilled or disked) leads to the establishment of higher diversity. It is important that the soil surface is not too hard packed</w:t>
      </w:r>
      <w:r w:rsidR="00976D3C">
        <w:rPr>
          <w:color w:val="000000"/>
        </w:rPr>
        <w:t>, particularly after construction</w:t>
      </w:r>
      <w:r w:rsidRPr="00CB5C05">
        <w:rPr>
          <w:color w:val="000000"/>
        </w:rPr>
        <w:t xml:space="preserve">, so </w:t>
      </w:r>
      <w:proofErr w:type="spellStart"/>
      <w:r w:rsidRPr="00CB5C05">
        <w:rPr>
          <w:color w:val="000000"/>
        </w:rPr>
        <w:t>cultipacking</w:t>
      </w:r>
      <w:proofErr w:type="spellEnd"/>
      <w:r w:rsidRPr="00CB5C05">
        <w:rPr>
          <w:color w:val="000000"/>
        </w:rPr>
        <w:t xml:space="preserve"> or light harrowing before broadcast seeding may be needed. Seed can be lost on smooth surfaces, so it is recommended to seed into temporary cover crops or to roll sites after seeding. </w:t>
      </w:r>
    </w:p>
    <w:p w14:paraId="6B8C42AB" w14:textId="77777777" w:rsidR="00CB5C05" w:rsidRPr="00CB5C05" w:rsidRDefault="00CB5C05" w:rsidP="00CB5C05">
      <w:pPr>
        <w:autoSpaceDE w:val="0"/>
        <w:autoSpaceDN w:val="0"/>
        <w:adjustRightInd w:val="0"/>
        <w:rPr>
          <w:rFonts w:asciiTheme="minorHAnsi" w:hAnsiTheme="minorHAnsi" w:cstheme="minorHAnsi"/>
          <w:color w:val="000000"/>
        </w:rPr>
      </w:pPr>
      <w:r w:rsidRPr="00CB5C05">
        <w:rPr>
          <w:rFonts w:asciiTheme="minorHAnsi" w:hAnsiTheme="minorHAnsi" w:cstheme="minorHAnsi"/>
          <w:b/>
          <w:bCs/>
          <w:i/>
          <w:iCs/>
          <w:color w:val="000000"/>
        </w:rPr>
        <w:t xml:space="preserve">Temporary Cover Crops and Mulch </w:t>
      </w:r>
    </w:p>
    <w:p w14:paraId="7EE67874" w14:textId="21ED3D7F" w:rsidR="00CB5C05" w:rsidRDefault="00CB5C05" w:rsidP="00CB5C05">
      <w:pPr>
        <w:rPr>
          <w:color w:val="000000"/>
        </w:rPr>
      </w:pPr>
      <w:r w:rsidRPr="00CB5C05">
        <w:rPr>
          <w:color w:val="000000"/>
        </w:rPr>
        <w:t xml:space="preserve">The use of short-lived temporary cover crops help </w:t>
      </w:r>
      <w:proofErr w:type="gramStart"/>
      <w:r w:rsidRPr="00CB5C05">
        <w:rPr>
          <w:color w:val="000000"/>
        </w:rPr>
        <w:t>stabilize</w:t>
      </w:r>
      <w:proofErr w:type="gramEnd"/>
      <w:r w:rsidRPr="00CB5C05">
        <w:rPr>
          <w:color w:val="000000"/>
        </w:rPr>
        <w:t xml:space="preserve"> project sites and minimize the need for additional mulch in preparation of planting native seed mixes. They can also provide time to observe weed problems, and to allow for proper weed control before fall seeding. Temporary cover crops such as oats or winter wheat (the two species </w:t>
      </w:r>
      <w:proofErr w:type="gramStart"/>
      <w:r w:rsidRPr="00CB5C05">
        <w:rPr>
          <w:color w:val="000000"/>
        </w:rPr>
        <w:t>most commonly used</w:t>
      </w:r>
      <w:proofErr w:type="gramEnd"/>
      <w:r w:rsidRPr="00CB5C05">
        <w:rPr>
          <w:color w:val="000000"/>
        </w:rPr>
        <w:t xml:space="preserve">) should be mowed to 10-12 inches before seeds mature (or harvested upon maturity) to prevent re-seeding. </w:t>
      </w:r>
      <w:r w:rsidR="002E29D0" w:rsidRPr="00D25655">
        <w:rPr>
          <w:color w:val="000000"/>
        </w:rPr>
        <w:t xml:space="preserve">Slough grass </w:t>
      </w:r>
      <w:r w:rsidR="00FF1096">
        <w:rPr>
          <w:color w:val="000000"/>
        </w:rPr>
        <w:t>(</w:t>
      </w:r>
      <w:proofErr w:type="spellStart"/>
      <w:r w:rsidR="00FF1096">
        <w:rPr>
          <w:i/>
          <w:iCs/>
          <w:lang w:val="en"/>
        </w:rPr>
        <w:t>Beckmannia</w:t>
      </w:r>
      <w:proofErr w:type="spellEnd"/>
      <w:r w:rsidR="00FF1096">
        <w:rPr>
          <w:i/>
          <w:iCs/>
          <w:lang w:val="en"/>
        </w:rPr>
        <w:t xml:space="preserve"> </w:t>
      </w:r>
      <w:proofErr w:type="spellStart"/>
      <w:r w:rsidR="008B5488">
        <w:rPr>
          <w:i/>
          <w:iCs/>
          <w:lang w:val="en"/>
        </w:rPr>
        <w:t>syzigachne</w:t>
      </w:r>
      <w:proofErr w:type="spellEnd"/>
      <w:r w:rsidR="008B5488">
        <w:rPr>
          <w:color w:val="000000"/>
        </w:rPr>
        <w:t>)</w:t>
      </w:r>
      <w:r w:rsidR="008B5488" w:rsidRPr="00D25655">
        <w:rPr>
          <w:color w:val="000000"/>
        </w:rPr>
        <w:t xml:space="preserve"> is</w:t>
      </w:r>
      <w:r w:rsidR="002E29D0" w:rsidRPr="00D25655">
        <w:rPr>
          <w:color w:val="000000"/>
        </w:rPr>
        <w:t xml:space="preserve"> a common cover crop for wet areas. Annual rye grass was commonly used but is generally avoided now due to its ability to inhibit germination of native species. </w:t>
      </w:r>
      <w:r w:rsidRPr="00CB5C05">
        <w:rPr>
          <w:color w:val="000000"/>
        </w:rPr>
        <w:t xml:space="preserve">Other cover crops typically used in agricultural fields, such as buckwheat, pennycress, and radishes, can help stabilize soil, build soil quality, or provide weed competition as part of restoration projects. Also see </w:t>
      </w:r>
      <w:hyperlink r:id="rId13" w:history="1">
        <w:r w:rsidRPr="00FF1096">
          <w:rPr>
            <w:rStyle w:val="Hyperlink"/>
          </w:rPr>
          <w:t>NRCS Agronomy Technical Note 31</w:t>
        </w:r>
      </w:hyperlink>
      <w:r w:rsidRPr="00CB5C05">
        <w:rPr>
          <w:color w:val="000000"/>
        </w:rPr>
        <w:t>.</w:t>
      </w:r>
      <w:r w:rsidR="009D08D4">
        <w:rPr>
          <w:color w:val="000000"/>
        </w:rPr>
        <w:t xml:space="preserve"> Temporary cover crops can be a good option for areas of construction to meet erosion permits and allow time to manage weeds before permanent seed mixes are installed. </w:t>
      </w:r>
    </w:p>
    <w:p w14:paraId="6AA7EE5A" w14:textId="77777777" w:rsidR="00CB5C05" w:rsidRPr="00CB5C05" w:rsidRDefault="00CB5C05" w:rsidP="00CB5C05">
      <w:pPr>
        <w:rPr>
          <w:b/>
          <w:bCs/>
        </w:rPr>
      </w:pPr>
      <w:r w:rsidRPr="00CB5C05">
        <w:rPr>
          <w:b/>
          <w:bCs/>
        </w:rPr>
        <w:t>Seeding Methods</w:t>
      </w:r>
    </w:p>
    <w:p w14:paraId="6FC446E7" w14:textId="7D7C94B3" w:rsidR="00A81A3A" w:rsidRDefault="00CB5C05" w:rsidP="00CB5C05">
      <w:r w:rsidRPr="00CB5C05">
        <w:t xml:space="preserve">A variety of seeding equipment is used for seeding including broadcast seeders, traditional native seed drills, no-till drills, Brillion seeders and Trillion seeders. Specialized native seed drills can handle a wide variety of seed (fluffy, smooth, </w:t>
      </w:r>
      <w:proofErr w:type="gramStart"/>
      <w:r w:rsidRPr="00CB5C05">
        <w:t>large</w:t>
      </w:r>
      <w:proofErr w:type="gramEnd"/>
      <w:r w:rsidRPr="00CB5C05">
        <w:t xml:space="preserve"> and small) and low seeding rates</w:t>
      </w:r>
      <w:r w:rsidR="00F14A97">
        <w:t xml:space="preserve"> </w:t>
      </w:r>
      <w:r w:rsidR="009D08D4">
        <w:t xml:space="preserve">and work well for seed mixes on slopes where seed to soil contact is needed and they work well for grass seed that typically does best when seeded around ¼ inch into the soil, so they are a good option for this seed mix. </w:t>
      </w:r>
      <w:r w:rsidR="00F14A97">
        <w:t xml:space="preserve"> </w:t>
      </w:r>
    </w:p>
    <w:p w14:paraId="2B33C555" w14:textId="60CB3BDC" w:rsidR="00CB5C05" w:rsidRPr="00CB5C05" w:rsidRDefault="00CB5C05" w:rsidP="00CB5C05">
      <w:pPr>
        <w:rPr>
          <w:b/>
          <w:bCs/>
        </w:rPr>
      </w:pPr>
      <w:r w:rsidRPr="00CB5C05">
        <w:rPr>
          <w:b/>
          <w:bCs/>
        </w:rPr>
        <w:t xml:space="preserve">Management Methods – </w:t>
      </w:r>
    </w:p>
    <w:p w14:paraId="7C2628C3" w14:textId="77777777" w:rsidR="00CB5C05" w:rsidRPr="00CB5C05" w:rsidRDefault="00CB5C05" w:rsidP="00CB5C05">
      <w:pPr>
        <w:rPr>
          <w:rFonts w:asciiTheme="minorHAnsi" w:hAnsiTheme="minorHAnsi" w:cstheme="minorHAnsi"/>
          <w:i/>
          <w:iCs/>
          <w:color w:val="0070C0"/>
          <w:sz w:val="23"/>
          <w:szCs w:val="23"/>
        </w:rPr>
      </w:pPr>
      <w:r w:rsidRPr="00CB5C05">
        <w:rPr>
          <w:rFonts w:asciiTheme="minorHAnsi" w:hAnsiTheme="minorHAnsi" w:cstheme="minorHAnsi"/>
          <w:i/>
          <w:iCs/>
          <w:color w:val="0070C0"/>
          <w:sz w:val="23"/>
          <w:szCs w:val="23"/>
        </w:rPr>
        <w:t xml:space="preserve">Establishment Mowing </w:t>
      </w:r>
    </w:p>
    <w:p w14:paraId="0CDC1B85" w14:textId="48F74A45" w:rsidR="00A81A3A" w:rsidRDefault="00A81A3A" w:rsidP="00A81A3A">
      <w:r>
        <w:t xml:space="preserve">Establishment mowing may be beneficial for </w:t>
      </w:r>
      <w:r w:rsidR="009D08D4">
        <w:t>p</w:t>
      </w:r>
      <w:r>
        <w:t>lantings if the site conditions are not to</w:t>
      </w:r>
      <w:r w:rsidR="002F2A64">
        <w:t>o</w:t>
      </w:r>
      <w:r>
        <w:t xml:space="preserve"> wet for the equipment. Pressure from annual and biennial weeds is generally less with increased soil saturation and water depth. For smaller projects, brush cutters, string trimmers, or hand equipment can be used to target weeds and work around native plants. See the Minnesota Wetland Restoration Guide appendix: </w:t>
      </w:r>
      <w:r>
        <w:rPr>
          <w:color w:val="0000FF"/>
        </w:rPr>
        <w:t>http://bwsr.state.mn.us/restoration/resources/documents/appendix-6a-3mowing.pdf</w:t>
      </w:r>
    </w:p>
    <w:p w14:paraId="5EF6CDB4" w14:textId="731887B8" w:rsidR="00CB5C05" w:rsidRDefault="00A81A3A" w:rsidP="00CB5C05">
      <w:r>
        <w:lastRenderedPageBreak/>
        <w:t xml:space="preserve">Mowing </w:t>
      </w:r>
      <w:r w:rsidR="00CB5C05" w:rsidRPr="00CB5C05">
        <w:t xml:space="preserve">at least twice the first season and once the second season with a flail mower or stalk chopper (to prevent smothering plants) is often </w:t>
      </w:r>
      <w:r>
        <w:t xml:space="preserve">helpful </w:t>
      </w:r>
      <w:r w:rsidR="00CB5C05" w:rsidRPr="00CB5C05">
        <w:t xml:space="preserve">to decrease competition and to provide sufficient sunlight for seedlings. Weeds should be mowed to between five and eight inches before seed is allowed to set (usually as weeds reach 12-14 inches). Mowing height should be raised as native plants establish. The timing and frequency of mowing should be planned to allow sufficient light to reach native plant seedlings and preventing weed seed production. Sites with low weed competition due to sandy soils or other factors may not need mowing. </w:t>
      </w:r>
    </w:p>
    <w:p w14:paraId="3D3E5ED0" w14:textId="77777777" w:rsidR="00CB5C05" w:rsidRPr="00CB5C05" w:rsidRDefault="00CB5C05" w:rsidP="00CB5C05">
      <w:pPr>
        <w:autoSpaceDE w:val="0"/>
        <w:autoSpaceDN w:val="0"/>
        <w:adjustRightInd w:val="0"/>
        <w:rPr>
          <w:rFonts w:asciiTheme="minorHAnsi" w:hAnsiTheme="minorHAnsi" w:cstheme="minorHAnsi"/>
          <w:color w:val="0070C0"/>
          <w:sz w:val="23"/>
          <w:szCs w:val="23"/>
        </w:rPr>
      </w:pPr>
      <w:bookmarkStart w:id="1" w:name="_Hlk60209216"/>
      <w:r w:rsidRPr="00CB5C05">
        <w:rPr>
          <w:rFonts w:asciiTheme="minorHAnsi" w:hAnsiTheme="minorHAnsi" w:cstheme="minorHAnsi"/>
          <w:i/>
          <w:iCs/>
          <w:color w:val="0070C0"/>
          <w:sz w:val="23"/>
          <w:szCs w:val="23"/>
        </w:rPr>
        <w:t>Prescribed Burning</w:t>
      </w:r>
      <w:bookmarkEnd w:id="1"/>
      <w:r w:rsidRPr="00CB5C05">
        <w:rPr>
          <w:rFonts w:asciiTheme="minorHAnsi" w:hAnsiTheme="minorHAnsi" w:cstheme="minorHAnsi"/>
          <w:i/>
          <w:iCs/>
          <w:color w:val="0070C0"/>
          <w:sz w:val="23"/>
          <w:szCs w:val="23"/>
        </w:rPr>
        <w:t xml:space="preserve"> </w:t>
      </w:r>
    </w:p>
    <w:p w14:paraId="1CC82509" w14:textId="3B052A42" w:rsidR="00CB5C05" w:rsidRPr="00CB5C05" w:rsidRDefault="00CB5C05" w:rsidP="00CB5C05">
      <w:pPr>
        <w:autoSpaceDE w:val="0"/>
        <w:autoSpaceDN w:val="0"/>
        <w:adjustRightInd w:val="0"/>
        <w:rPr>
          <w:color w:val="000000"/>
        </w:rPr>
      </w:pPr>
      <w:r w:rsidRPr="00CB5C05">
        <w:rPr>
          <w:color w:val="000000"/>
        </w:rPr>
        <w:t xml:space="preserve">Prescribed burning </w:t>
      </w:r>
      <w:r w:rsidR="00A81A3A">
        <w:rPr>
          <w:color w:val="000000"/>
        </w:rPr>
        <w:t xml:space="preserve">can be beneficial for some plantings, particularly if burning was part of the historic plant community for the project. Burning can </w:t>
      </w:r>
      <w:r w:rsidRPr="00CB5C05">
        <w:rPr>
          <w:color w:val="000000"/>
        </w:rPr>
        <w:t>remove thatch, control invading woody and invasive plants</w:t>
      </w:r>
      <w:r w:rsidR="00A81A3A">
        <w:rPr>
          <w:color w:val="000000"/>
        </w:rPr>
        <w:t>,</w:t>
      </w:r>
      <w:r w:rsidRPr="00CB5C05">
        <w:rPr>
          <w:color w:val="000000"/>
        </w:rPr>
        <w:t xml:space="preserve"> stimulate seed germination and new plant growth, and increase diversity in plantings.</w:t>
      </w:r>
      <w:r w:rsidR="00A81A3A">
        <w:rPr>
          <w:color w:val="000000"/>
        </w:rPr>
        <w:t xml:space="preserve"> In some </w:t>
      </w:r>
      <w:r w:rsidR="008B5488">
        <w:rPr>
          <w:color w:val="000000"/>
        </w:rPr>
        <w:t>cases,</w:t>
      </w:r>
      <w:r w:rsidR="00A81A3A">
        <w:rPr>
          <w:color w:val="000000"/>
        </w:rPr>
        <w:t xml:space="preserve"> the disturbance and increased nutrients from a burn can stimulate reed canary grass germination, so this should be considered when the species is a risk for a project. </w:t>
      </w:r>
      <w:r w:rsidRPr="00CB5C05">
        <w:rPr>
          <w:color w:val="000000"/>
        </w:rPr>
        <w:t xml:space="preserve"> Burning is typically initiated after the third or fourth years of establishment, after native vegetation is reaching maturity. </w:t>
      </w:r>
      <w:r w:rsidR="00A81A3A">
        <w:rPr>
          <w:color w:val="000000"/>
        </w:rPr>
        <w:t>Burning is commonly conducted</w:t>
      </w:r>
      <w:r w:rsidRPr="00CB5C05">
        <w:rPr>
          <w:color w:val="000000"/>
        </w:rPr>
        <w:t xml:space="preserve"> every three to five years. Fall and spring burns should be alternated periodically to simulate natural variation. Burn plans are needed to define the details of how the burn will be conducted, who will be involved and for contingency planning. In many cases, permits are also required. It is recommended to only burn one-half or less of a project site at a time if they are large (over 50 acres), or don’t have any adjacent refuge such as other conservation lands adjacent to the site for wildlife species. Partial burns and burns that are patchy may also benefit pollinator populations if timed correctly (when pollinators are not actively </w:t>
      </w:r>
      <w:r w:rsidR="008B5488" w:rsidRPr="00CB5C05">
        <w:rPr>
          <w:color w:val="000000"/>
        </w:rPr>
        <w:t>foraging,</w:t>
      </w:r>
      <w:r w:rsidRPr="00CB5C05">
        <w:rPr>
          <w:color w:val="000000"/>
        </w:rPr>
        <w:t xml:space="preserve"> or pollinators have pupated and are mobile). </w:t>
      </w:r>
    </w:p>
    <w:p w14:paraId="45418B15" w14:textId="77777777" w:rsidR="00CB5C05" w:rsidRPr="00CB5C05" w:rsidRDefault="00CB5C05" w:rsidP="00CB5C05">
      <w:pPr>
        <w:autoSpaceDE w:val="0"/>
        <w:autoSpaceDN w:val="0"/>
        <w:adjustRightInd w:val="0"/>
        <w:rPr>
          <w:rFonts w:asciiTheme="minorHAnsi" w:hAnsiTheme="minorHAnsi" w:cstheme="minorHAnsi"/>
          <w:color w:val="0070C0"/>
          <w:sz w:val="23"/>
          <w:szCs w:val="23"/>
        </w:rPr>
      </w:pPr>
      <w:r w:rsidRPr="00CB5C05">
        <w:rPr>
          <w:rFonts w:asciiTheme="minorHAnsi" w:hAnsiTheme="minorHAnsi" w:cstheme="minorHAnsi"/>
          <w:i/>
          <w:iCs/>
          <w:color w:val="0070C0"/>
          <w:sz w:val="23"/>
          <w:szCs w:val="23"/>
        </w:rPr>
        <w:t xml:space="preserve">Spot Treatment of Weeds </w:t>
      </w:r>
    </w:p>
    <w:p w14:paraId="5BD42207" w14:textId="1A9ADF65" w:rsidR="002E29D0" w:rsidRDefault="00CB5C05" w:rsidP="6F92F2CB">
      <w:pPr>
        <w:autoSpaceDE w:val="0"/>
        <w:autoSpaceDN w:val="0"/>
        <w:adjustRightInd w:val="0"/>
        <w:rPr>
          <w:rFonts w:eastAsia="Calibri"/>
          <w:color w:val="000000" w:themeColor="text1"/>
        </w:rPr>
      </w:pPr>
      <w:r w:rsidRPr="6F92F2CB">
        <w:rPr>
          <w:color w:val="000000" w:themeColor="text1"/>
        </w:rPr>
        <w:t xml:space="preserve">Problematic perennial weeds that cannot be managed effectively with other methods may require spot treatment with herbicide for sufficient control. Examples include reed canary grass, </w:t>
      </w:r>
      <w:r w:rsidR="00A81A3A" w:rsidRPr="6F92F2CB">
        <w:rPr>
          <w:color w:val="000000" w:themeColor="text1"/>
        </w:rPr>
        <w:t>q</w:t>
      </w:r>
      <w:r w:rsidRPr="6F92F2CB">
        <w:rPr>
          <w:color w:val="000000" w:themeColor="text1"/>
        </w:rPr>
        <w:t xml:space="preserve">uack grass, purple loosestrife, Canada thistle, </w:t>
      </w:r>
      <w:r w:rsidR="00A81A3A" w:rsidRPr="6F92F2CB">
        <w:rPr>
          <w:color w:val="000000" w:themeColor="text1"/>
        </w:rPr>
        <w:t xml:space="preserve">and </w:t>
      </w:r>
      <w:r w:rsidRPr="6F92F2CB">
        <w:rPr>
          <w:color w:val="000000" w:themeColor="text1"/>
        </w:rPr>
        <w:t xml:space="preserve">Kentucky bluegrass. In some cases, herbicide treatment is not conducted during the first or second year of establishment to avoid impact to </w:t>
      </w:r>
      <w:r w:rsidR="008B5488" w:rsidRPr="6F92F2CB">
        <w:rPr>
          <w:color w:val="000000" w:themeColor="text1"/>
        </w:rPr>
        <w:t>seedlings,</w:t>
      </w:r>
      <w:r w:rsidRPr="6F92F2CB">
        <w:rPr>
          <w:color w:val="000000" w:themeColor="text1"/>
        </w:rPr>
        <w:t xml:space="preserve"> but it may be important to control some weeds before they have a chance to spread. A common practice for Canada thistle control involves clipping seedheads while they are in the bud stage (usually early June) and conducting herbicide application with a broad-leaf specific herbicide in the fall (mid to late October). This timing limits the application of herbicide while pollinators are active. </w:t>
      </w:r>
      <w:r w:rsidR="002E29D0">
        <w:t xml:space="preserve">Grass-specific herbicides are used to control reed canary grass in wet meadow restorations, particularly on sites dominated by forbs and sedges that will not be affected. Grass-specific herbicides are most effective on young reed canary plants </w:t>
      </w:r>
      <w:r w:rsidR="0038586B">
        <w:t xml:space="preserve">(6-12 inches tall) </w:t>
      </w:r>
      <w:r w:rsidR="002E29D0">
        <w:t xml:space="preserve">than on mature plants. There is some evidence that using surfactants along with herbicides and disking prior to application may improve effectiveness. It should be noted that grass specific herbicides are not aquatically certified and should not be used near open water. When using a broad-spectrum </w:t>
      </w:r>
      <w:r w:rsidR="008B5488">
        <w:t>herbicide,</w:t>
      </w:r>
      <w:r w:rsidR="002E29D0">
        <w:t xml:space="preserve"> it is important that an aquatic safe form of glyphosate and surfactant be used near open water. When using herbicides, labels must be followed, certified applicators must conduct the treatment and Personal Protective Equipment (PPE) must be used according to label instructions.</w:t>
      </w:r>
      <w:r w:rsidR="404A914C">
        <w:t xml:space="preserve"> </w:t>
      </w:r>
      <w:r w:rsidR="404A914C" w:rsidRPr="6F92F2CB">
        <w:rPr>
          <w:rFonts w:eastAsia="Calibri"/>
          <w:color w:val="000000" w:themeColor="text1"/>
        </w:rPr>
        <w:t>Minimize herbicide first year/spot spray year 2. Unless significant problem weeds show up.</w:t>
      </w:r>
    </w:p>
    <w:p w14:paraId="498CEB60" w14:textId="2A8D1380" w:rsidR="00CB5C05" w:rsidRPr="00CB5C05" w:rsidRDefault="00CB5C05" w:rsidP="00CB5C05">
      <w:r w:rsidRPr="00CB5C05">
        <w:rPr>
          <w:b/>
          <w:bCs/>
        </w:rPr>
        <w:t>What to Expect in Year 1:</w:t>
      </w:r>
      <w:r w:rsidRPr="00CB5C05">
        <w:t xml:space="preserve"> During year one of growth many native grasses</w:t>
      </w:r>
      <w:r w:rsidR="00A81A3A">
        <w:t xml:space="preserve">, sedges, </w:t>
      </w:r>
      <w:proofErr w:type="gramStart"/>
      <w:r w:rsidR="00A81A3A">
        <w:t>rushes</w:t>
      </w:r>
      <w:proofErr w:type="gramEnd"/>
      <w:r w:rsidRPr="00CB5C05">
        <w:t xml:space="preserve"> and flowers will remain about one to three inches tall. </w:t>
      </w:r>
      <w:r w:rsidR="0038586B">
        <w:t xml:space="preserve">Agricultural weeds such a ragweed, barnyard grass and foxtail barley may be common but not necessarily a cause for alarm. </w:t>
      </w:r>
      <w:r w:rsidRPr="00CB5C05">
        <w:t xml:space="preserve">The mowing will play an important role to keep weeds managed so the native plant seedlings receive sufficient water and sunlight. The planting may have a somewhat weedy appearance this first year. </w:t>
      </w:r>
    </w:p>
    <w:p w14:paraId="3E2EAC80" w14:textId="77777777" w:rsidR="00CB5C05" w:rsidRPr="00CB5C05" w:rsidRDefault="00CB5C05" w:rsidP="00CB5C05">
      <w:r w:rsidRPr="00CB5C05">
        <w:t>(IMAGE)</w:t>
      </w:r>
    </w:p>
    <w:p w14:paraId="1F9C7030" w14:textId="77777777" w:rsidR="00CB5C05" w:rsidRPr="00CB5C05" w:rsidRDefault="00CB5C05" w:rsidP="00CB5C05">
      <w:r w:rsidRPr="00CB5C05">
        <w:rPr>
          <w:b/>
          <w:bCs/>
        </w:rPr>
        <w:t>What to Expect in Year 2:</w:t>
      </w:r>
      <w:r w:rsidRPr="00CB5C05">
        <w:t xml:space="preserve"> During year two the native grasses and flowers may reach their mature height and some of them may flower. Mowing will still play a key role in managing weeds and allowing seedlings to grow. </w:t>
      </w:r>
    </w:p>
    <w:p w14:paraId="4F889211" w14:textId="77777777" w:rsidR="00CB5C05" w:rsidRPr="00CB5C05" w:rsidRDefault="00CB5C05" w:rsidP="00CB5C05">
      <w:r w:rsidRPr="00CB5C05">
        <w:t>(IMAGE)</w:t>
      </w:r>
    </w:p>
    <w:p w14:paraId="45586B98" w14:textId="77777777" w:rsidR="00CB5C05" w:rsidRPr="00CB5C05" w:rsidRDefault="00CB5C05" w:rsidP="00CB5C05">
      <w:r w:rsidRPr="00CB5C05">
        <w:rPr>
          <w:b/>
          <w:bCs/>
        </w:rPr>
        <w:t>What to Expect in Year 3 and Beyond:</w:t>
      </w:r>
      <w:r w:rsidRPr="00CB5C05">
        <w:t xml:space="preserve"> By the end of year three most of the native plants will be nearing maturity and should flower. There may be some species that are slow to establish and may not show up for several years. </w:t>
      </w:r>
    </w:p>
    <w:p w14:paraId="6C2482C1" w14:textId="77777777" w:rsidR="00CB5C05" w:rsidRPr="00CB5C05" w:rsidRDefault="00CB5C05" w:rsidP="00CB5C05">
      <w:pPr>
        <w:rPr>
          <w:b/>
          <w:bCs/>
        </w:rPr>
      </w:pPr>
      <w:r w:rsidRPr="00CB5C05">
        <w:rPr>
          <w:b/>
          <w:bCs/>
        </w:rPr>
        <w:lastRenderedPageBreak/>
        <w:t>Problem Solving</w:t>
      </w:r>
    </w:p>
    <w:p w14:paraId="4FB90C77" w14:textId="77777777" w:rsidR="00CB5C05" w:rsidRPr="00CB5C05" w:rsidRDefault="00CB5C05" w:rsidP="00CB5C05">
      <w:r w:rsidRPr="00CB5C05">
        <w:rPr>
          <w:i/>
          <w:iCs/>
          <w:color w:val="4472C4" w:themeColor="accent1"/>
        </w:rPr>
        <w:t>Poor Establishment After Year 1</w:t>
      </w:r>
      <w:r w:rsidRPr="00CB5C05">
        <w:t xml:space="preserve"> – It is often difficult to determine if a seeding is successful during the first year as establishment may vary depending on weather conditions and some species may be slow to establish. It is typically best to wait until the second year to conduct any corrective actions. </w:t>
      </w:r>
    </w:p>
    <w:p w14:paraId="09200FDE" w14:textId="190AA57D" w:rsidR="00CB5C05" w:rsidRPr="00CB5C05" w:rsidRDefault="00CB5C05" w:rsidP="00CB5C05">
      <w:r w:rsidRPr="00CB5C05">
        <w:rPr>
          <w:i/>
          <w:iCs/>
          <w:color w:val="4472C4" w:themeColor="accent1"/>
        </w:rPr>
        <w:t>Poor Establishment After Year 2</w:t>
      </w:r>
      <w:r w:rsidRPr="00CB5C05">
        <w:t xml:space="preserve"> – If native plant seedlings are not establishing about every one to two feet it may be necessary to inter-seed some species into the planting. </w:t>
      </w:r>
    </w:p>
    <w:p w14:paraId="2E0D7AEF" w14:textId="1F20F16F" w:rsidR="00CB5C05" w:rsidRPr="00CB5C05" w:rsidRDefault="00CB5C05" w:rsidP="00CB5C05">
      <w:r w:rsidRPr="00CB5C05">
        <w:rPr>
          <w:i/>
          <w:iCs/>
          <w:color w:val="4472C4" w:themeColor="accent1"/>
        </w:rPr>
        <w:t>High Annual and Biennial Weed Competition</w:t>
      </w:r>
      <w:r w:rsidRPr="00CB5C05">
        <w:t xml:space="preserve"> – Typically, annual and biennial weed competition is not a big problem in </w:t>
      </w:r>
      <w:r w:rsidR="00A81A3A">
        <w:t xml:space="preserve">wet meadow </w:t>
      </w:r>
      <w:r w:rsidRPr="00CB5C05">
        <w:t xml:space="preserve">plantings as they are short lived and as long as mowing is conducted before seed is </w:t>
      </w:r>
      <w:proofErr w:type="gramStart"/>
      <w:r w:rsidRPr="00CB5C05">
        <w:t>set</w:t>
      </w:r>
      <w:proofErr w:type="gramEnd"/>
      <w:r w:rsidRPr="00CB5C05">
        <w:t xml:space="preserve"> they should not add additional seed into the planting. </w:t>
      </w:r>
    </w:p>
    <w:p w14:paraId="56320102" w14:textId="17CBCFAC" w:rsidR="00CB5C05" w:rsidRPr="00CB5C05" w:rsidRDefault="00CB5C05" w:rsidP="00CB5C05">
      <w:r w:rsidRPr="00CB5C05">
        <w:rPr>
          <w:i/>
          <w:iCs/>
          <w:color w:val="4472C4" w:themeColor="accent1"/>
        </w:rPr>
        <w:t>High Perennial Weed Competition</w:t>
      </w:r>
      <w:r w:rsidRPr="00CB5C05">
        <w:t xml:space="preserve"> – Dense establishment of perennial species can be a problem as it can prevent the establishment of forbs. </w:t>
      </w:r>
      <w:r w:rsidR="00887D66">
        <w:t>H</w:t>
      </w:r>
      <w:r w:rsidRPr="00CB5C05">
        <w:t xml:space="preserve">erbicide application may be needed to manage perennial weeds.  </w:t>
      </w:r>
    </w:p>
    <w:p w14:paraId="575D8FED" w14:textId="226B3C75" w:rsidR="00CB5C05" w:rsidRPr="00CB5C05" w:rsidRDefault="00CB5C05" w:rsidP="00CB5C05">
      <w:r w:rsidRPr="00CB5C05">
        <w:rPr>
          <w:i/>
          <w:iCs/>
          <w:color w:val="4472C4" w:themeColor="accent1"/>
        </w:rPr>
        <w:t>Low Forb Diversity After Year 3</w:t>
      </w:r>
      <w:r w:rsidRPr="00CB5C05">
        <w:t xml:space="preserve"> – If grasses and sedges are establishing successfully but there is a lack of forbs it is recommended to conduct inter-seeding of additional forbs in late fall. See the </w:t>
      </w:r>
      <w:hyperlink r:id="rId14" w:history="1">
        <w:r w:rsidRPr="00CB5C05">
          <w:rPr>
            <w:color w:val="0563C1" w:themeColor="hyperlink"/>
            <w:u w:val="single"/>
          </w:rPr>
          <w:t>Xerces Society guide</w:t>
        </w:r>
      </w:hyperlink>
      <w:r w:rsidRPr="00CB5C05">
        <w:t xml:space="preserve"> for additional information about inter-seeding wildflowers.</w:t>
      </w:r>
    </w:p>
    <w:p w14:paraId="3B676E02" w14:textId="77777777" w:rsidR="00CB5C05" w:rsidRPr="00CB5C05" w:rsidRDefault="00CB5C05" w:rsidP="00CB5C05"/>
    <w:p w14:paraId="3F9F4D61" w14:textId="5D685A21" w:rsidR="00CB5C05" w:rsidRDefault="00CB5C05" w:rsidP="00A0508F">
      <w:pPr>
        <w:rPr>
          <w:b/>
          <w:bCs/>
        </w:rPr>
      </w:pPr>
    </w:p>
    <w:p w14:paraId="0756804E" w14:textId="1C84DB6C" w:rsidR="00CB5C05" w:rsidRDefault="00CB5C05" w:rsidP="00A0508F">
      <w:pPr>
        <w:rPr>
          <w:b/>
          <w:bCs/>
        </w:rPr>
      </w:pPr>
    </w:p>
    <w:p w14:paraId="2FE282B8" w14:textId="1FBDA76F" w:rsidR="00CB5C05" w:rsidRDefault="00CB5C05" w:rsidP="00A0508F">
      <w:pPr>
        <w:rPr>
          <w:b/>
          <w:bCs/>
        </w:rPr>
      </w:pPr>
    </w:p>
    <w:p w14:paraId="67436296" w14:textId="5E2CC789" w:rsidR="00DA021C" w:rsidRDefault="00DA021C" w:rsidP="00DC6F8D"/>
    <w:p w14:paraId="2BDAAEA5" w14:textId="30D2D852" w:rsidR="00B05527" w:rsidRDefault="00B05527"/>
    <w:p w14:paraId="23C192CA" w14:textId="5429106B" w:rsidR="00C97F4E" w:rsidRDefault="00C97F4E"/>
    <w:p w14:paraId="4667CC30" w14:textId="77777777" w:rsidR="00C97F4E" w:rsidRDefault="00C97F4E"/>
    <w:sectPr w:rsidR="00C97F4E" w:rsidSect="00606E28">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08F"/>
    <w:rsid w:val="00033DE8"/>
    <w:rsid w:val="00051F86"/>
    <w:rsid w:val="00147A00"/>
    <w:rsid w:val="00166430"/>
    <w:rsid w:val="00211590"/>
    <w:rsid w:val="00223BF5"/>
    <w:rsid w:val="00241834"/>
    <w:rsid w:val="00251242"/>
    <w:rsid w:val="00282A5E"/>
    <w:rsid w:val="00282D99"/>
    <w:rsid w:val="0029344D"/>
    <w:rsid w:val="002E29D0"/>
    <w:rsid w:val="002F2A64"/>
    <w:rsid w:val="00364827"/>
    <w:rsid w:val="003722C1"/>
    <w:rsid w:val="0038586B"/>
    <w:rsid w:val="004430B1"/>
    <w:rsid w:val="00462D0C"/>
    <w:rsid w:val="00473934"/>
    <w:rsid w:val="00484F2E"/>
    <w:rsid w:val="004C403A"/>
    <w:rsid w:val="004E7807"/>
    <w:rsid w:val="005655BB"/>
    <w:rsid w:val="005966A9"/>
    <w:rsid w:val="00606E28"/>
    <w:rsid w:val="00630E5E"/>
    <w:rsid w:val="006E405A"/>
    <w:rsid w:val="00700B6E"/>
    <w:rsid w:val="00740B8B"/>
    <w:rsid w:val="00773A26"/>
    <w:rsid w:val="007A2E81"/>
    <w:rsid w:val="008602EB"/>
    <w:rsid w:val="00887D66"/>
    <w:rsid w:val="008B5488"/>
    <w:rsid w:val="008D448E"/>
    <w:rsid w:val="008E6CBF"/>
    <w:rsid w:val="00952A74"/>
    <w:rsid w:val="009632BF"/>
    <w:rsid w:val="00976D3C"/>
    <w:rsid w:val="009B075A"/>
    <w:rsid w:val="009D08D4"/>
    <w:rsid w:val="00A0508F"/>
    <w:rsid w:val="00A12A2B"/>
    <w:rsid w:val="00A323D8"/>
    <w:rsid w:val="00A81A3A"/>
    <w:rsid w:val="00A85D69"/>
    <w:rsid w:val="00AA5F8D"/>
    <w:rsid w:val="00AC642B"/>
    <w:rsid w:val="00AF326F"/>
    <w:rsid w:val="00B05527"/>
    <w:rsid w:val="00B235AF"/>
    <w:rsid w:val="00B520E1"/>
    <w:rsid w:val="00BA347C"/>
    <w:rsid w:val="00C02B88"/>
    <w:rsid w:val="00C97F4E"/>
    <w:rsid w:val="00CB5C05"/>
    <w:rsid w:val="00CE584B"/>
    <w:rsid w:val="00CF2D0B"/>
    <w:rsid w:val="00D12599"/>
    <w:rsid w:val="00D25655"/>
    <w:rsid w:val="00D4588B"/>
    <w:rsid w:val="00D81A3F"/>
    <w:rsid w:val="00DA021C"/>
    <w:rsid w:val="00DC6F8D"/>
    <w:rsid w:val="00DF40A8"/>
    <w:rsid w:val="00ED0BD8"/>
    <w:rsid w:val="00ED4CA9"/>
    <w:rsid w:val="00EF59A6"/>
    <w:rsid w:val="00F14A97"/>
    <w:rsid w:val="00F86A41"/>
    <w:rsid w:val="00FF1096"/>
    <w:rsid w:val="03210DDE"/>
    <w:rsid w:val="227A5055"/>
    <w:rsid w:val="2A8B7093"/>
    <w:rsid w:val="2F2EC836"/>
    <w:rsid w:val="2F704465"/>
    <w:rsid w:val="30A6A272"/>
    <w:rsid w:val="404A914C"/>
    <w:rsid w:val="4AF4C9D3"/>
    <w:rsid w:val="4E9DFA3C"/>
    <w:rsid w:val="5F98CA7B"/>
    <w:rsid w:val="68896D37"/>
    <w:rsid w:val="6BC10DF9"/>
    <w:rsid w:val="6D5CDE5A"/>
    <w:rsid w:val="6F92F2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15A2C"/>
  <w15:chartTrackingRefBased/>
  <w15:docId w15:val="{9C6D1C5C-9FD2-4156-BF1C-3B5370C8E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508F"/>
    <w:pPr>
      <w:spacing w:after="0" w:line="240" w:lineRule="auto"/>
    </w:pPr>
    <w:rPr>
      <w:rFonts w:ascii="Calibri" w:hAnsi="Calibri" w:cs="Calibri"/>
    </w:rPr>
  </w:style>
  <w:style w:type="paragraph" w:styleId="Heading1">
    <w:name w:val="heading 1"/>
    <w:basedOn w:val="Normal"/>
    <w:next w:val="Normal"/>
    <w:link w:val="Heading1Char"/>
    <w:uiPriority w:val="9"/>
    <w:qFormat/>
    <w:rsid w:val="004E7807"/>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E7807"/>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E7807"/>
    <w:pPr>
      <w:keepNext/>
      <w:keepLines/>
      <w:spacing w:before="40" w:line="259" w:lineRule="auto"/>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E584B"/>
    <w:rPr>
      <w:color w:val="0563C1" w:themeColor="hyperlink"/>
      <w:u w:val="single"/>
    </w:rPr>
  </w:style>
  <w:style w:type="character" w:styleId="UnresolvedMention">
    <w:name w:val="Unresolved Mention"/>
    <w:basedOn w:val="DefaultParagraphFont"/>
    <w:uiPriority w:val="99"/>
    <w:semiHidden/>
    <w:unhideWhenUsed/>
    <w:rsid w:val="00CE584B"/>
    <w:rPr>
      <w:color w:val="605E5C"/>
      <w:shd w:val="clear" w:color="auto" w:fill="E1DFDD"/>
    </w:rPr>
  </w:style>
  <w:style w:type="character" w:styleId="IntenseEmphasis">
    <w:name w:val="Intense Emphasis"/>
    <w:basedOn w:val="DefaultParagraphFont"/>
    <w:uiPriority w:val="21"/>
    <w:qFormat/>
    <w:rsid w:val="00CE584B"/>
    <w:rPr>
      <w:i/>
      <w:iCs/>
      <w:color w:val="4472C4" w:themeColor="accent1"/>
    </w:rPr>
  </w:style>
  <w:style w:type="paragraph" w:styleId="IntenseQuote">
    <w:name w:val="Intense Quote"/>
    <w:basedOn w:val="Normal"/>
    <w:next w:val="Normal"/>
    <w:link w:val="IntenseQuoteChar"/>
    <w:uiPriority w:val="30"/>
    <w:qFormat/>
    <w:rsid w:val="006E405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E405A"/>
    <w:rPr>
      <w:rFonts w:ascii="Calibri" w:hAnsi="Calibri" w:cs="Calibri"/>
      <w:i/>
      <w:iCs/>
      <w:color w:val="4472C4" w:themeColor="accent1"/>
    </w:rPr>
  </w:style>
  <w:style w:type="character" w:styleId="CommentReference">
    <w:name w:val="annotation reference"/>
    <w:basedOn w:val="DefaultParagraphFont"/>
    <w:uiPriority w:val="99"/>
    <w:semiHidden/>
    <w:unhideWhenUsed/>
    <w:rsid w:val="00A323D8"/>
    <w:rPr>
      <w:sz w:val="16"/>
      <w:szCs w:val="16"/>
    </w:rPr>
  </w:style>
  <w:style w:type="paragraph" w:styleId="CommentText">
    <w:name w:val="annotation text"/>
    <w:basedOn w:val="Normal"/>
    <w:link w:val="CommentTextChar"/>
    <w:uiPriority w:val="99"/>
    <w:semiHidden/>
    <w:unhideWhenUsed/>
    <w:rsid w:val="00A323D8"/>
    <w:rPr>
      <w:sz w:val="20"/>
      <w:szCs w:val="20"/>
    </w:rPr>
  </w:style>
  <w:style w:type="character" w:customStyle="1" w:styleId="CommentTextChar">
    <w:name w:val="Comment Text Char"/>
    <w:basedOn w:val="DefaultParagraphFont"/>
    <w:link w:val="CommentText"/>
    <w:uiPriority w:val="99"/>
    <w:semiHidden/>
    <w:rsid w:val="00A323D8"/>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A323D8"/>
    <w:rPr>
      <w:b/>
      <w:bCs/>
    </w:rPr>
  </w:style>
  <w:style w:type="character" w:customStyle="1" w:styleId="CommentSubjectChar">
    <w:name w:val="Comment Subject Char"/>
    <w:basedOn w:val="CommentTextChar"/>
    <w:link w:val="CommentSubject"/>
    <w:uiPriority w:val="99"/>
    <w:semiHidden/>
    <w:rsid w:val="00A323D8"/>
    <w:rPr>
      <w:rFonts w:ascii="Calibri" w:hAnsi="Calibri" w:cs="Calibri"/>
      <w:b/>
      <w:bCs/>
      <w:sz w:val="20"/>
      <w:szCs w:val="20"/>
    </w:rPr>
  </w:style>
  <w:style w:type="paragraph" w:styleId="BalloonText">
    <w:name w:val="Balloon Text"/>
    <w:basedOn w:val="Normal"/>
    <w:link w:val="BalloonTextChar"/>
    <w:uiPriority w:val="99"/>
    <w:semiHidden/>
    <w:unhideWhenUsed/>
    <w:rsid w:val="00A323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23D8"/>
    <w:rPr>
      <w:rFonts w:ascii="Segoe UI" w:hAnsi="Segoe UI" w:cs="Segoe UI"/>
      <w:sz w:val="18"/>
      <w:szCs w:val="18"/>
    </w:rPr>
  </w:style>
  <w:style w:type="paragraph" w:customStyle="1" w:styleId="Default">
    <w:name w:val="Default"/>
    <w:rsid w:val="00DA021C"/>
    <w:pPr>
      <w:autoSpaceDE w:val="0"/>
      <w:autoSpaceDN w:val="0"/>
      <w:adjustRightInd w:val="0"/>
      <w:spacing w:after="0" w:line="240" w:lineRule="auto"/>
    </w:pPr>
    <w:rPr>
      <w:rFonts w:ascii="Calibri" w:hAnsi="Calibri" w:cs="Calibri"/>
      <w:color w:val="000000"/>
      <w:sz w:val="24"/>
      <w:szCs w:val="24"/>
    </w:rPr>
  </w:style>
  <w:style w:type="paragraph" w:customStyle="1" w:styleId="paragraph">
    <w:name w:val="paragraph"/>
    <w:basedOn w:val="Normal"/>
    <w:rsid w:val="007A2E81"/>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7A2E81"/>
  </w:style>
  <w:style w:type="character" w:customStyle="1" w:styleId="Heading1Char">
    <w:name w:val="Heading 1 Char"/>
    <w:basedOn w:val="DefaultParagraphFont"/>
    <w:link w:val="Heading1"/>
    <w:uiPriority w:val="9"/>
    <w:rsid w:val="004E780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E780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E7807"/>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4E780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7807"/>
    <w:rPr>
      <w:rFonts w:asciiTheme="majorHAnsi" w:eastAsiaTheme="majorEastAsia" w:hAnsiTheme="majorHAnsi" w:cstheme="majorBidi"/>
      <w:spacing w:val="-10"/>
      <w:kern w:val="28"/>
      <w:sz w:val="56"/>
      <w:szCs w:val="56"/>
    </w:rPr>
  </w:style>
  <w:style w:type="table" w:styleId="GridTable6Colorful">
    <w:name w:val="Grid Table 6 Colorful"/>
    <w:basedOn w:val="TableNormal"/>
    <w:uiPriority w:val="51"/>
    <w:rsid w:val="004E780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3913533">
      <w:bodyDiv w:val="1"/>
      <w:marLeft w:val="0"/>
      <w:marRight w:val="0"/>
      <w:marTop w:val="0"/>
      <w:marBottom w:val="0"/>
      <w:divBdr>
        <w:top w:val="none" w:sz="0" w:space="0" w:color="auto"/>
        <w:left w:val="none" w:sz="0" w:space="0" w:color="auto"/>
        <w:bottom w:val="none" w:sz="0" w:space="0" w:color="auto"/>
        <w:right w:val="none" w:sz="0" w:space="0" w:color="auto"/>
      </w:divBdr>
    </w:div>
    <w:div w:id="1217200191">
      <w:bodyDiv w:val="1"/>
      <w:marLeft w:val="0"/>
      <w:marRight w:val="0"/>
      <w:marTop w:val="0"/>
      <w:marBottom w:val="0"/>
      <w:divBdr>
        <w:top w:val="none" w:sz="0" w:space="0" w:color="auto"/>
        <w:left w:val="none" w:sz="0" w:space="0" w:color="auto"/>
        <w:bottom w:val="none" w:sz="0" w:space="0" w:color="auto"/>
        <w:right w:val="none" w:sz="0" w:space="0" w:color="auto"/>
      </w:divBdr>
    </w:div>
    <w:div w:id="1796948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nrcs.usda.gov/wps/portal/nrcs/mn/technical/ecoscience/agronomy/nrcs142p2_023679/" TargetMode="Externa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hyperlink" Target="http://www.bwsr.state.mn.us/sites/default/files/2021-02/seedmix-substitution.pdf"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bwsr.state.mn.us/seed-mixes" TargetMode="Externa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yperlink" Target="https://xerces.org/publications/guidelines/interseeding-wildflowers-to-diversify-grasslands-for-pollinato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2E6F4475B4364FB2DF0900946C4B0D" ma:contentTypeVersion="6" ma:contentTypeDescription="Create a new document." ma:contentTypeScope="" ma:versionID="c795dab67ea53f38c9cf145d788fef53">
  <xsd:schema xmlns:xsd="http://www.w3.org/2001/XMLSchema" xmlns:xs="http://www.w3.org/2001/XMLSchema" xmlns:p="http://schemas.microsoft.com/office/2006/metadata/properties" xmlns:ns2="ed37426c-40bd-4a45-9ec1-df064aaa9130" xmlns:ns3="5e5027df-e74e-4ce0-b9c9-d835891705a8" targetNamespace="http://schemas.microsoft.com/office/2006/metadata/properties" ma:root="true" ma:fieldsID="dd92267601e163b49a5ea87bb45ff76f" ns2:_="" ns3:_="">
    <xsd:import namespace="ed37426c-40bd-4a45-9ec1-df064aaa9130"/>
    <xsd:import namespace="5e5027df-e74e-4ce0-b9c9-d835891705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7426c-40bd-4a45-9ec1-df064aaa9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5027df-e74e-4ce0-b9c9-d835891705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94278CB-F2DB-4BF0-92BF-6CD9ABB3DE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37426c-40bd-4a45-9ec1-df064aaa9130"/>
    <ds:schemaRef ds:uri="5e5027df-e74e-4ce0-b9c9-d83589170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721B2B-41D5-4FD6-AC07-8CFB0E2F9457}">
  <ds:schemaRefs>
    <ds:schemaRef ds:uri="http://schemas.microsoft.com/sharepoint/v3/contenttype/forms"/>
  </ds:schemaRefs>
</ds:datastoreItem>
</file>

<file path=customXml/itemProps3.xml><?xml version="1.0" encoding="utf-8"?>
<ds:datastoreItem xmlns:ds="http://schemas.openxmlformats.org/officeDocument/2006/customXml" ds:itemID="{61AAAF9E-7C19-4A2D-B289-FAD496E8E4F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Pages>
  <Words>2310</Words>
  <Characters>13172</Characters>
  <Application>Microsoft Office Word</Application>
  <DocSecurity>0</DocSecurity>
  <Lines>109</Lines>
  <Paragraphs>30</Paragraphs>
  <ScaleCrop>false</ScaleCrop>
  <Company>State of MN</Company>
  <LinksUpToDate>false</LinksUpToDate>
  <CharactersWithSpaces>15452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Shaw, Dan B (BWSR)</dc:creator>
  <cp:keywords/>
  <dc:description/>
  <cp:lastModifiedBy>Rost, Cecelia (She/Her/Hers) (BWSR)</cp:lastModifiedBy>
  <cp:revision>24</cp:revision>
  <dcterms:created xsi:type="dcterms:W3CDTF">2021-01-06T19:58:00Z</dcterms:created>
  <dcterms:modified xsi:type="dcterms:W3CDTF">2024-04-09T14:44:00Z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0x010100AA2E6F4475B4364FB2DF0900946C4B0D</vt:lpwstr>
  </property>
</Properties>
</file>