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0E0DC" w14:textId="42784A6A" w:rsidR="00A95DD7" w:rsidRDefault="00A95DD7" w:rsidP="00A95DD7">
      <w:pPr>
        <w:rPr>
          <w:rFonts w:asciiTheme="majorHAnsi" w:hAnsiTheme="majorHAnsi" w:cstheme="majorBidi"/>
          <w:b/>
          <w:bCs/>
          <w:sz w:val="48"/>
          <w:szCs w:val="48"/>
        </w:rPr>
      </w:pPr>
      <w:r w:rsidRPr="00997923">
        <w:rPr>
          <w:rFonts w:asciiTheme="majorHAnsi" w:hAnsiTheme="majorHAnsi" w:cstheme="majorBidi"/>
          <w:b/>
          <w:bCs/>
          <w:sz w:val="48"/>
          <w:szCs w:val="48"/>
        </w:rPr>
        <w:t>Solar Array M</w:t>
      </w:r>
      <w:r>
        <w:rPr>
          <w:rFonts w:asciiTheme="majorHAnsi" w:hAnsiTheme="majorHAnsi" w:cstheme="majorBidi"/>
          <w:b/>
          <w:bCs/>
          <w:sz w:val="48"/>
          <w:szCs w:val="48"/>
        </w:rPr>
        <w:t xml:space="preserve">esic Soils </w:t>
      </w:r>
      <w:r w:rsidRPr="00997923">
        <w:rPr>
          <w:rFonts w:asciiTheme="majorHAnsi" w:hAnsiTheme="majorHAnsi" w:cstheme="majorBidi"/>
          <w:b/>
          <w:bCs/>
          <w:sz w:val="48"/>
          <w:szCs w:val="48"/>
        </w:rPr>
        <w:t xml:space="preserve">South and West Seed Mix </w:t>
      </w:r>
      <w:r w:rsidR="009A70A4">
        <w:rPr>
          <w:rFonts w:asciiTheme="majorHAnsi" w:hAnsiTheme="majorHAnsi" w:cstheme="majorBidi"/>
          <w:b/>
          <w:bCs/>
          <w:sz w:val="48"/>
          <w:szCs w:val="48"/>
        </w:rPr>
        <w:t>39-241</w:t>
      </w:r>
    </w:p>
    <w:p w14:paraId="1BCB9DAD" w14:textId="47C071E4" w:rsidR="009A70A4" w:rsidRPr="009A70A4" w:rsidRDefault="009A70A4" w:rsidP="00A95DD7">
      <w:pPr>
        <w:rPr>
          <w:rFonts w:asciiTheme="majorHAnsi" w:hAnsiTheme="majorHAnsi" w:cstheme="majorBidi"/>
          <w:b/>
          <w:bCs/>
        </w:rPr>
      </w:pPr>
      <w:r w:rsidRPr="009A70A4">
        <w:rPr>
          <w:rFonts w:asciiTheme="majorHAnsi" w:hAnsiTheme="majorHAnsi" w:cstheme="majorBidi"/>
          <w:b/>
          <w:bCs/>
        </w:rPr>
        <w:t>Updated 2023</w:t>
      </w:r>
    </w:p>
    <w:p w14:paraId="30560D67" w14:textId="19F9318E" w:rsidR="00553A9F" w:rsidRDefault="00553A9F" w:rsidP="00A95DD7">
      <w:pPr>
        <w:rPr>
          <w:rFonts w:eastAsia="Times New Roman"/>
        </w:rPr>
      </w:pPr>
    </w:p>
    <w:p w14:paraId="1A754AF7" w14:textId="77777777" w:rsidR="004427A8" w:rsidRDefault="003347A3" w:rsidP="00A95DD7">
      <w:pPr>
        <w:rPr>
          <w:rFonts w:eastAsia="Times New Roman"/>
        </w:rPr>
      </w:pPr>
      <w:r>
        <w:rPr>
          <w:noProof/>
        </w:rPr>
        <w:drawing>
          <wp:inline distT="0" distB="0" distL="0" distR="0" wp14:anchorId="602C1F1F" wp14:editId="17B2C2C7">
            <wp:extent cx="1590675" cy="104530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877" t="19102" r="54251" b="56510"/>
                    <a:stretch/>
                  </pic:blipFill>
                  <pic:spPr bwMode="auto">
                    <a:xfrm>
                      <a:off x="0" y="0"/>
                      <a:ext cx="1596746" cy="1049290"/>
                    </a:xfrm>
                    <a:prstGeom prst="rect">
                      <a:avLst/>
                    </a:prstGeom>
                    <a:ln>
                      <a:noFill/>
                    </a:ln>
                    <a:extLst>
                      <a:ext uri="{53640926-AAD7-44D8-BBD7-CCE9431645EC}">
                        <a14:shadowObscured xmlns:a14="http://schemas.microsoft.com/office/drawing/2010/main"/>
                      </a:ext>
                    </a:extLst>
                  </pic:spPr>
                </pic:pic>
              </a:graphicData>
            </a:graphic>
          </wp:inline>
        </w:drawing>
      </w:r>
    </w:p>
    <w:p w14:paraId="7568657C" w14:textId="77777777" w:rsidR="004427A8" w:rsidRDefault="004427A8" w:rsidP="00A95DD7">
      <w:pPr>
        <w:rPr>
          <w:rFonts w:eastAsia="Times New Roman"/>
        </w:rPr>
      </w:pPr>
    </w:p>
    <w:p w14:paraId="72FCC755" w14:textId="497ADD1E" w:rsidR="00A95DD7" w:rsidRPr="004427A8" w:rsidRDefault="00A95DD7" w:rsidP="00A95DD7">
      <w:pPr>
        <w:rPr>
          <w:rFonts w:eastAsia="Times New Roman"/>
        </w:rPr>
      </w:pPr>
      <w:r w:rsidRPr="00105A48">
        <w:rPr>
          <w:rFonts w:eastAsia="Times New Roman"/>
        </w:rPr>
        <w:t>This mix has been designed to</w:t>
      </w:r>
      <w:r w:rsidRPr="00105A48">
        <w:t xml:space="preserve"> </w:t>
      </w:r>
      <w:r>
        <w:t xml:space="preserve">establish native plantings under solar panels that provide habitat for pollinators and other invertebrates, enhances water management, improves habitat for beneficial soil organisms and provides cooling of solar panels. </w:t>
      </w:r>
    </w:p>
    <w:p w14:paraId="5A0C9E8B" w14:textId="48079B2E" w:rsidR="002A515D" w:rsidRDefault="002A515D" w:rsidP="002A515D">
      <w:pPr>
        <w:spacing w:after="160" w:line="259" w:lineRule="auto"/>
        <w:rPr>
          <w:rFonts w:asciiTheme="minorHAnsi" w:hAnsiTheme="minorHAnsi" w:cstheme="minorBidi"/>
        </w:rPr>
      </w:pPr>
      <w:r w:rsidRPr="002A515D">
        <w:rPr>
          <w:rFonts w:asciiTheme="minorHAnsi" w:hAnsiTheme="minorHAnsi" w:cstheme="minorBidi"/>
          <w:noProof/>
        </w:rPr>
        <mc:AlternateContent>
          <mc:Choice Requires="wps">
            <w:drawing>
              <wp:anchor distT="45720" distB="45720" distL="114300" distR="114300" simplePos="0" relativeHeight="251658242" behindDoc="0" locked="0" layoutInCell="1" allowOverlap="1" wp14:anchorId="6D8A44A4" wp14:editId="6AC8C0E2">
                <wp:simplePos x="0" y="0"/>
                <wp:positionH relativeFrom="column">
                  <wp:posOffset>-85725</wp:posOffset>
                </wp:positionH>
                <wp:positionV relativeFrom="paragraph">
                  <wp:posOffset>507365</wp:posOffset>
                </wp:positionV>
                <wp:extent cx="2360930" cy="495300"/>
                <wp:effectExtent l="0" t="0" r="381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noFill/>
                          <a:miter lim="800000"/>
                          <a:headEnd/>
                          <a:tailEnd/>
                        </a:ln>
                      </wps:spPr>
                      <wps:txbx>
                        <w:txbxContent>
                          <w:p w14:paraId="205D705F" w14:textId="06DD8DB7" w:rsidR="002A515D" w:rsidRDefault="002A515D">
                            <w:r>
                              <w:rPr>
                                <w:noProof/>
                              </w:rPr>
                              <w:drawing>
                                <wp:inline distT="0" distB="0" distL="0" distR="0" wp14:anchorId="523FF498" wp14:editId="061EC619">
                                  <wp:extent cx="1685925" cy="432873"/>
                                  <wp:effectExtent l="0" t="0" r="0" b="5715"/>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754" cy="439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8A44A4" id="_x0000_t202" coordsize="21600,21600" o:spt="202" path="m,l,21600r21600,l21600,xe">
                <v:stroke joinstyle="miter"/>
                <v:path gradientshapeok="t" o:connecttype="rect"/>
              </v:shapetype>
              <v:shape id="Text Box 11" o:spid="_x0000_s1026" type="#_x0000_t202" style="position:absolute;margin-left:-6.75pt;margin-top:39.95pt;width:185.9pt;height:39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" stroked="f">
                <v:textbox>
                  <w:txbxContent>
                    <w:p w14:paraId="205D705F" w14:textId="06DD8DB7" w:rsidR="002A515D" w:rsidRDefault="002A515D">
                      <w:r>
                        <w:rPr>
                          <w:noProof/>
                        </w:rPr>
                        <w:drawing>
                          <wp:inline distT="0" distB="0" distL="0" distR="0" wp14:anchorId="523FF498" wp14:editId="061EC619">
                            <wp:extent cx="1685925" cy="432873"/>
                            <wp:effectExtent l="0" t="0" r="0" b="5715"/>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754" cy="43950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3CDE2FEB" wp14:editId="6C384E68">
                <wp:simplePos x="0" y="0"/>
                <wp:positionH relativeFrom="column">
                  <wp:posOffset>9525</wp:posOffset>
                </wp:positionH>
                <wp:positionV relativeFrom="paragraph">
                  <wp:posOffset>57785</wp:posOffset>
                </wp:positionV>
                <wp:extent cx="2360930" cy="381000"/>
                <wp:effectExtent l="0" t="0" r="381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20A483A0" w14:textId="12930DAC" w:rsidR="002A515D" w:rsidRDefault="002A515D">
                            <w:r>
                              <w:rPr>
                                <w:noProof/>
                              </w:rPr>
                              <w:drawing>
                                <wp:inline distT="0" distB="0" distL="0" distR="0" wp14:anchorId="6651C926" wp14:editId="66907026">
                                  <wp:extent cx="2162810" cy="30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0">
                                            <a:extLst>
                                              <a:ext uri="{28A0092B-C50C-407E-A947-70E740481C1C}">
                                                <a14:useLocalDpi xmlns:a14="http://schemas.microsoft.com/office/drawing/2010/main" val="0"/>
                                              </a:ext>
                                            </a:extLst>
                                          </a:blip>
                                          <a:srcRect t="21622"/>
                                          <a:stretch/>
                                        </pic:blipFill>
                                        <pic:spPr bwMode="auto">
                                          <a:xfrm>
                                            <a:off x="0" y="0"/>
                                            <a:ext cx="2162810" cy="30897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DE2FEB" id="Text Box 10" o:spid="_x0000_s1027" type="#_x0000_t202" style="position:absolute;margin-left:.75pt;margin-top:4.55pt;width:185.9pt;height:30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" stroked="f">
                <v:textbox>
                  <w:txbxContent>
                    <w:p w14:paraId="20A483A0" w14:textId="12930DAC" w:rsidR="002A515D" w:rsidRDefault="002A515D">
                      <w:r>
                        <w:rPr>
                          <w:noProof/>
                        </w:rPr>
                        <w:drawing>
                          <wp:inline distT="0" distB="0" distL="0" distR="0" wp14:anchorId="6651C926" wp14:editId="66907026">
                            <wp:extent cx="2162810" cy="30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0">
                                      <a:extLst>
                                        <a:ext uri="{28A0092B-C50C-407E-A947-70E740481C1C}">
                                          <a14:useLocalDpi xmlns:a14="http://schemas.microsoft.com/office/drawing/2010/main" val="0"/>
                                        </a:ext>
                                      </a:extLst>
                                    </a:blip>
                                    <a:srcRect t="21622"/>
                                    <a:stretch/>
                                  </pic:blipFill>
                                  <pic:spPr bwMode="auto">
                                    <a:xfrm>
                                      <a:off x="0" y="0"/>
                                      <a:ext cx="2162810" cy="30897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noProof/>
        </w:rPr>
        <w:drawing>
          <wp:inline distT="0" distB="0" distL="0" distR="0" wp14:anchorId="1E663EDA" wp14:editId="7F52AB06">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p w14:paraId="03A858D4" w14:textId="78FAC940" w:rsidR="002A515D" w:rsidRDefault="002A515D" w:rsidP="002A515D">
      <w:pPr>
        <w:spacing w:after="160" w:line="259" w:lineRule="auto"/>
        <w:ind w:right="-540"/>
        <w:rPr>
          <w:rFonts w:asciiTheme="minorHAnsi" w:hAnsiTheme="minorHAnsi" w:cstheme="minorBidi"/>
        </w:rPr>
      </w:pPr>
      <w:r>
        <w:rPr>
          <w:noProof/>
        </w:rPr>
        <w:drawing>
          <wp:inline distT="0" distB="0" distL="0" distR="0" wp14:anchorId="4FB071B8" wp14:editId="3F078CF1">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p w14:paraId="7C8B5693" w14:textId="21BC5862" w:rsidR="00A95DD7" w:rsidRPr="00D9597D" w:rsidRDefault="002A515D" w:rsidP="00D9597D">
      <w:pPr>
        <w:spacing w:after="160" w:line="259" w:lineRule="auto"/>
        <w:ind w:right="-540"/>
        <w:rPr>
          <w:rFonts w:asciiTheme="minorHAnsi" w:hAnsiTheme="minorHAnsi" w:cstheme="minorBidi"/>
        </w:rPr>
      </w:pPr>
      <w:r w:rsidRPr="00105A48">
        <w:rPr>
          <w:rFonts w:asciiTheme="minorHAnsi" w:hAnsiTheme="minorHAnsi" w:cstheme="minorBidi"/>
        </w:rPr>
        <w:t>Partners also include collaboration among Non-profits, Seed vendors, SWCD, Tribal Governments, Consultants, County and Cities. (</w:t>
      </w:r>
      <w:r w:rsidR="0046129D" w:rsidRPr="00105A48">
        <w:rPr>
          <w:rFonts w:asciiTheme="minorHAnsi" w:hAnsiTheme="minorHAnsi" w:cstheme="minorBidi"/>
        </w:rPr>
        <w:t>See</w:t>
      </w:r>
      <w:r w:rsidRPr="00105A48">
        <w:rPr>
          <w:rFonts w:asciiTheme="minorHAnsi" w:hAnsiTheme="minorHAnsi" w:cstheme="minorBidi"/>
        </w:rPr>
        <w:t xml:space="preserve"> </w:t>
      </w:r>
      <w:r w:rsidR="0046129D">
        <w:rPr>
          <w:rFonts w:asciiTheme="minorHAnsi" w:hAnsiTheme="minorHAnsi" w:cstheme="minorBidi"/>
        </w:rPr>
        <w:t>partner</w:t>
      </w:r>
      <w:r w:rsidRPr="00105A48">
        <w:rPr>
          <w:rFonts w:asciiTheme="minorHAnsi" w:hAnsiTheme="minorHAnsi" w:cstheme="minorBidi"/>
        </w:rPr>
        <w:t xml:space="preserve"> list on </w:t>
      </w:r>
      <w:hyperlink r:id="rId13" w:history="1">
        <w:r w:rsidRPr="00105A48">
          <w:rPr>
            <w:rFonts w:asciiTheme="minorHAnsi" w:hAnsiTheme="minorHAnsi" w:cstheme="minorBidi"/>
            <w:color w:val="0563C1" w:themeColor="hyperlink"/>
            <w:u w:val="single"/>
          </w:rPr>
          <w:t>website</w:t>
        </w:r>
      </w:hyperlink>
      <w:r w:rsidRPr="00105A48">
        <w:rPr>
          <w:rFonts w:asciiTheme="minorHAnsi" w:hAnsiTheme="minorHAnsi" w:cstheme="minorBidi"/>
        </w:rPr>
        <w:t>)</w:t>
      </w:r>
    </w:p>
    <w:tbl>
      <w:tblPr>
        <w:tblW w:w="9810" w:type="dxa"/>
        <w:tblLook w:val="04A0" w:firstRow="1" w:lastRow="0" w:firstColumn="1" w:lastColumn="0" w:noHBand="0" w:noVBand="1"/>
      </w:tblPr>
      <w:tblGrid>
        <w:gridCol w:w="928"/>
        <w:gridCol w:w="2132"/>
        <w:gridCol w:w="2520"/>
        <w:gridCol w:w="900"/>
        <w:gridCol w:w="1170"/>
        <w:gridCol w:w="1106"/>
        <w:gridCol w:w="1106"/>
      </w:tblGrid>
      <w:tr w:rsidR="009A70A4" w:rsidRPr="009A70A4" w14:paraId="1BA95F3B" w14:textId="77777777" w:rsidTr="00D65FB8">
        <w:trPr>
          <w:trHeight w:val="255"/>
        </w:trPr>
        <w:tc>
          <w:tcPr>
            <w:tcW w:w="928" w:type="dxa"/>
            <w:tcBorders>
              <w:top w:val="nil"/>
              <w:left w:val="nil"/>
              <w:bottom w:val="nil"/>
              <w:right w:val="nil"/>
            </w:tcBorders>
            <w:shd w:val="clear" w:color="auto" w:fill="auto"/>
            <w:noWrap/>
            <w:vAlign w:val="bottom"/>
            <w:hideMark/>
          </w:tcPr>
          <w:p w14:paraId="7844EE61" w14:textId="77777777" w:rsidR="009A70A4" w:rsidRPr="009A70A4" w:rsidRDefault="009A70A4" w:rsidP="009A70A4">
            <w:pPr>
              <w:rPr>
                <w:rFonts w:ascii="Times New Roman" w:eastAsia="Times New Roman" w:hAnsi="Times New Roman" w:cs="Times New Roman"/>
                <w:sz w:val="24"/>
                <w:szCs w:val="24"/>
              </w:rPr>
            </w:pPr>
          </w:p>
        </w:tc>
        <w:tc>
          <w:tcPr>
            <w:tcW w:w="2132" w:type="dxa"/>
            <w:tcBorders>
              <w:top w:val="nil"/>
              <w:left w:val="nil"/>
              <w:bottom w:val="nil"/>
              <w:right w:val="nil"/>
            </w:tcBorders>
            <w:shd w:val="clear" w:color="auto" w:fill="auto"/>
            <w:noWrap/>
            <w:vAlign w:val="bottom"/>
            <w:hideMark/>
          </w:tcPr>
          <w:p w14:paraId="0779F195" w14:textId="77777777" w:rsidR="009A70A4" w:rsidRPr="009A70A4" w:rsidRDefault="009A70A4" w:rsidP="009A70A4">
            <w:pPr>
              <w:rPr>
                <w:rFonts w:ascii="Arial" w:eastAsia="Times New Roman" w:hAnsi="Arial" w:cs="Arial"/>
                <w:b/>
                <w:bCs/>
                <w:color w:val="000000"/>
                <w:sz w:val="20"/>
                <w:szCs w:val="20"/>
              </w:rPr>
            </w:pPr>
            <w:bookmarkStart w:id="0" w:name="RANGE!B1:G55"/>
            <w:r w:rsidRPr="009A70A4">
              <w:rPr>
                <w:rFonts w:ascii="Arial" w:eastAsia="Times New Roman" w:hAnsi="Arial" w:cs="Arial"/>
                <w:b/>
                <w:bCs/>
                <w:color w:val="000000"/>
                <w:sz w:val="20"/>
                <w:szCs w:val="20"/>
              </w:rPr>
              <w:t>39-241</w:t>
            </w:r>
            <w:bookmarkEnd w:id="0"/>
          </w:p>
        </w:tc>
        <w:tc>
          <w:tcPr>
            <w:tcW w:w="5696" w:type="dxa"/>
            <w:gridSpan w:val="4"/>
            <w:tcBorders>
              <w:top w:val="nil"/>
              <w:left w:val="nil"/>
              <w:bottom w:val="nil"/>
              <w:right w:val="nil"/>
            </w:tcBorders>
            <w:shd w:val="clear" w:color="auto" w:fill="auto"/>
            <w:noWrap/>
            <w:vAlign w:val="bottom"/>
            <w:hideMark/>
          </w:tcPr>
          <w:p w14:paraId="6C359BCC"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High Diversity Solar Array Mesic Soils South &amp; West Mix</w:t>
            </w:r>
          </w:p>
        </w:tc>
        <w:tc>
          <w:tcPr>
            <w:tcW w:w="1054" w:type="dxa"/>
            <w:tcBorders>
              <w:top w:val="nil"/>
              <w:left w:val="nil"/>
              <w:bottom w:val="nil"/>
              <w:right w:val="nil"/>
            </w:tcBorders>
            <w:shd w:val="clear" w:color="auto" w:fill="auto"/>
            <w:noWrap/>
            <w:vAlign w:val="bottom"/>
            <w:hideMark/>
          </w:tcPr>
          <w:p w14:paraId="5FA6C390" w14:textId="77777777" w:rsidR="009A70A4" w:rsidRPr="009A70A4" w:rsidRDefault="009A70A4" w:rsidP="009A70A4">
            <w:pPr>
              <w:rPr>
                <w:rFonts w:ascii="Arial" w:eastAsia="Times New Roman" w:hAnsi="Arial" w:cs="Arial"/>
                <w:b/>
                <w:bCs/>
                <w:color w:val="000000"/>
                <w:sz w:val="20"/>
                <w:szCs w:val="20"/>
              </w:rPr>
            </w:pPr>
          </w:p>
        </w:tc>
      </w:tr>
      <w:tr w:rsidR="009A70A4" w:rsidRPr="009A70A4" w14:paraId="0AFBDBCD" w14:textId="77777777" w:rsidTr="00D65FB8">
        <w:trPr>
          <w:trHeight w:val="510"/>
        </w:trPr>
        <w:tc>
          <w:tcPr>
            <w:tcW w:w="928" w:type="dxa"/>
            <w:tcBorders>
              <w:top w:val="single" w:sz="4" w:space="0" w:color="auto"/>
              <w:left w:val="single" w:sz="4" w:space="0" w:color="auto"/>
              <w:bottom w:val="single" w:sz="4" w:space="0" w:color="auto"/>
              <w:right w:val="single" w:sz="4" w:space="0" w:color="auto"/>
            </w:tcBorders>
            <w:shd w:val="clear" w:color="auto" w:fill="9BC2E6"/>
            <w:noWrap/>
            <w:vAlign w:val="bottom"/>
            <w:hideMark/>
          </w:tcPr>
          <w:p w14:paraId="4BB70DD6"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Code</w:t>
            </w:r>
          </w:p>
        </w:tc>
        <w:tc>
          <w:tcPr>
            <w:tcW w:w="2132" w:type="dxa"/>
            <w:tcBorders>
              <w:top w:val="single" w:sz="4" w:space="0" w:color="auto"/>
              <w:left w:val="nil"/>
              <w:bottom w:val="single" w:sz="4" w:space="0" w:color="auto"/>
              <w:right w:val="single" w:sz="4" w:space="0" w:color="auto"/>
            </w:tcBorders>
            <w:shd w:val="clear" w:color="auto" w:fill="9BC2E6"/>
            <w:vAlign w:val="bottom"/>
            <w:hideMark/>
          </w:tcPr>
          <w:p w14:paraId="489A9572" w14:textId="77777777" w:rsidR="009A70A4" w:rsidRPr="009A70A4" w:rsidRDefault="009A70A4" w:rsidP="009A70A4">
            <w:pPr>
              <w:jc w:val="center"/>
              <w:rPr>
                <w:rFonts w:ascii="Arial" w:eastAsia="Times New Roman" w:hAnsi="Arial" w:cs="Arial"/>
                <w:b/>
                <w:bCs/>
                <w:sz w:val="20"/>
                <w:szCs w:val="20"/>
              </w:rPr>
            </w:pPr>
            <w:r w:rsidRPr="009A70A4">
              <w:rPr>
                <w:rFonts w:ascii="Arial" w:eastAsia="Times New Roman" w:hAnsi="Arial" w:cs="Arial"/>
                <w:b/>
                <w:bCs/>
                <w:sz w:val="20"/>
                <w:szCs w:val="20"/>
              </w:rPr>
              <w:t>Common Name</w:t>
            </w:r>
          </w:p>
        </w:tc>
        <w:tc>
          <w:tcPr>
            <w:tcW w:w="2520" w:type="dxa"/>
            <w:tcBorders>
              <w:top w:val="single" w:sz="4" w:space="0" w:color="auto"/>
              <w:left w:val="nil"/>
              <w:bottom w:val="single" w:sz="4" w:space="0" w:color="auto"/>
              <w:right w:val="single" w:sz="4" w:space="0" w:color="auto"/>
            </w:tcBorders>
            <w:shd w:val="clear" w:color="auto" w:fill="9BC2E6"/>
            <w:vAlign w:val="bottom"/>
            <w:hideMark/>
          </w:tcPr>
          <w:p w14:paraId="6D6413EC" w14:textId="77777777" w:rsidR="009A70A4" w:rsidRPr="009A70A4" w:rsidRDefault="009A70A4" w:rsidP="009A70A4">
            <w:pPr>
              <w:jc w:val="center"/>
              <w:rPr>
                <w:rFonts w:ascii="Arial" w:eastAsia="Times New Roman" w:hAnsi="Arial" w:cs="Arial"/>
                <w:b/>
                <w:bCs/>
                <w:sz w:val="20"/>
                <w:szCs w:val="20"/>
              </w:rPr>
            </w:pPr>
            <w:r w:rsidRPr="009A70A4">
              <w:rPr>
                <w:rFonts w:ascii="Arial" w:eastAsia="Times New Roman" w:hAnsi="Arial" w:cs="Arial"/>
                <w:b/>
                <w:bCs/>
                <w:sz w:val="20"/>
                <w:szCs w:val="20"/>
              </w:rPr>
              <w:t>Scientific Name</w:t>
            </w:r>
          </w:p>
        </w:tc>
        <w:tc>
          <w:tcPr>
            <w:tcW w:w="900" w:type="dxa"/>
            <w:tcBorders>
              <w:top w:val="single" w:sz="4" w:space="0" w:color="auto"/>
              <w:left w:val="nil"/>
              <w:bottom w:val="single" w:sz="4" w:space="0" w:color="auto"/>
              <w:right w:val="single" w:sz="4" w:space="0" w:color="auto"/>
            </w:tcBorders>
            <w:shd w:val="clear" w:color="auto" w:fill="9BC2E6"/>
            <w:vAlign w:val="bottom"/>
            <w:hideMark/>
          </w:tcPr>
          <w:p w14:paraId="335D38F3" w14:textId="77777777" w:rsidR="009A70A4" w:rsidRPr="009A70A4" w:rsidRDefault="009A70A4" w:rsidP="009A70A4">
            <w:pPr>
              <w:jc w:val="center"/>
              <w:rPr>
                <w:rFonts w:ascii="Arial" w:eastAsia="Times New Roman" w:hAnsi="Arial" w:cs="Arial"/>
                <w:b/>
                <w:bCs/>
                <w:sz w:val="20"/>
                <w:szCs w:val="20"/>
              </w:rPr>
            </w:pPr>
            <w:r w:rsidRPr="009A70A4">
              <w:rPr>
                <w:rFonts w:ascii="Arial" w:eastAsia="Times New Roman" w:hAnsi="Arial" w:cs="Arial"/>
                <w:b/>
                <w:bCs/>
                <w:sz w:val="20"/>
                <w:szCs w:val="20"/>
              </w:rPr>
              <w:t xml:space="preserve">PLS </w:t>
            </w:r>
            <w:proofErr w:type="spellStart"/>
            <w:r w:rsidRPr="009A70A4">
              <w:rPr>
                <w:rFonts w:ascii="Arial" w:eastAsia="Times New Roman" w:hAnsi="Arial" w:cs="Arial"/>
                <w:b/>
                <w:bCs/>
                <w:sz w:val="20"/>
                <w:szCs w:val="20"/>
              </w:rPr>
              <w:t>lb</w:t>
            </w:r>
            <w:proofErr w:type="spellEnd"/>
            <w:r w:rsidRPr="009A70A4">
              <w:rPr>
                <w:rFonts w:ascii="Arial" w:eastAsia="Times New Roman" w:hAnsi="Arial" w:cs="Arial"/>
                <w:b/>
                <w:bCs/>
                <w:sz w:val="20"/>
                <w:szCs w:val="20"/>
              </w:rPr>
              <w:t>/ac</w:t>
            </w:r>
          </w:p>
        </w:tc>
        <w:tc>
          <w:tcPr>
            <w:tcW w:w="1170" w:type="dxa"/>
            <w:tcBorders>
              <w:top w:val="single" w:sz="4" w:space="0" w:color="auto"/>
              <w:left w:val="nil"/>
              <w:bottom w:val="single" w:sz="4" w:space="0" w:color="auto"/>
              <w:right w:val="single" w:sz="4" w:space="0" w:color="auto"/>
            </w:tcBorders>
            <w:shd w:val="clear" w:color="auto" w:fill="9BC2E6"/>
            <w:vAlign w:val="bottom"/>
            <w:hideMark/>
          </w:tcPr>
          <w:p w14:paraId="1A5E91A1" w14:textId="77777777" w:rsidR="009A70A4" w:rsidRPr="009A70A4" w:rsidRDefault="009A70A4" w:rsidP="009A70A4">
            <w:pPr>
              <w:jc w:val="cente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xml:space="preserve">% by PLS </w:t>
            </w:r>
            <w:proofErr w:type="spellStart"/>
            <w:r w:rsidRPr="009A70A4">
              <w:rPr>
                <w:rFonts w:ascii="Arial" w:eastAsia="Times New Roman" w:hAnsi="Arial" w:cs="Arial"/>
                <w:b/>
                <w:bCs/>
                <w:color w:val="000000"/>
                <w:sz w:val="20"/>
                <w:szCs w:val="20"/>
              </w:rPr>
              <w:t>lb</w:t>
            </w:r>
            <w:proofErr w:type="spellEnd"/>
            <w:r w:rsidRPr="009A70A4">
              <w:rPr>
                <w:rFonts w:ascii="Arial" w:eastAsia="Times New Roman" w:hAnsi="Arial" w:cs="Arial"/>
                <w:b/>
                <w:bCs/>
                <w:color w:val="000000"/>
                <w:sz w:val="20"/>
                <w:szCs w:val="20"/>
              </w:rPr>
              <w:t>/ac</w:t>
            </w:r>
          </w:p>
        </w:tc>
        <w:tc>
          <w:tcPr>
            <w:tcW w:w="1106" w:type="dxa"/>
            <w:tcBorders>
              <w:top w:val="single" w:sz="4" w:space="0" w:color="auto"/>
              <w:left w:val="nil"/>
              <w:bottom w:val="single" w:sz="4" w:space="0" w:color="auto"/>
              <w:right w:val="single" w:sz="4" w:space="0" w:color="auto"/>
            </w:tcBorders>
            <w:shd w:val="clear" w:color="auto" w:fill="9BC2E6"/>
            <w:vAlign w:val="bottom"/>
            <w:hideMark/>
          </w:tcPr>
          <w:p w14:paraId="39058EAD" w14:textId="77777777" w:rsidR="009A70A4" w:rsidRPr="009A70A4" w:rsidRDefault="009A70A4" w:rsidP="009A70A4">
            <w:pPr>
              <w:jc w:val="center"/>
              <w:rPr>
                <w:rFonts w:ascii="Arial" w:eastAsia="Times New Roman" w:hAnsi="Arial" w:cs="Arial"/>
                <w:b/>
                <w:bCs/>
                <w:sz w:val="20"/>
                <w:szCs w:val="20"/>
              </w:rPr>
            </w:pPr>
            <w:r w:rsidRPr="009A70A4">
              <w:rPr>
                <w:rFonts w:ascii="Arial" w:eastAsia="Times New Roman" w:hAnsi="Arial" w:cs="Arial"/>
                <w:b/>
                <w:bCs/>
                <w:sz w:val="20"/>
                <w:szCs w:val="20"/>
              </w:rPr>
              <w:t>Seeds/ft2</w:t>
            </w:r>
          </w:p>
        </w:tc>
        <w:tc>
          <w:tcPr>
            <w:tcW w:w="1054" w:type="dxa"/>
            <w:tcBorders>
              <w:top w:val="single" w:sz="4" w:space="0" w:color="auto"/>
              <w:left w:val="nil"/>
              <w:bottom w:val="single" w:sz="4" w:space="0" w:color="auto"/>
              <w:right w:val="single" w:sz="4" w:space="0" w:color="auto"/>
            </w:tcBorders>
            <w:shd w:val="clear" w:color="auto" w:fill="9BC2E6"/>
            <w:vAlign w:val="bottom"/>
            <w:hideMark/>
          </w:tcPr>
          <w:p w14:paraId="253F5DBD" w14:textId="77777777" w:rsidR="009A70A4" w:rsidRPr="009A70A4" w:rsidRDefault="009A70A4" w:rsidP="009A70A4">
            <w:pPr>
              <w:jc w:val="center"/>
              <w:rPr>
                <w:rFonts w:ascii="Arial" w:eastAsia="Times New Roman" w:hAnsi="Arial" w:cs="Arial"/>
                <w:b/>
                <w:bCs/>
                <w:sz w:val="20"/>
                <w:szCs w:val="20"/>
              </w:rPr>
            </w:pPr>
            <w:r w:rsidRPr="009A70A4">
              <w:rPr>
                <w:rFonts w:ascii="Arial" w:eastAsia="Times New Roman" w:hAnsi="Arial" w:cs="Arial"/>
                <w:b/>
                <w:bCs/>
                <w:sz w:val="20"/>
                <w:szCs w:val="20"/>
              </w:rPr>
              <w:t>% by Seeds/ft2</w:t>
            </w:r>
          </w:p>
        </w:tc>
      </w:tr>
      <w:tr w:rsidR="009A70A4" w:rsidRPr="009A70A4" w14:paraId="3378CB15"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B2C0D87"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boucur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640FEDE0"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Sideoats</w:t>
            </w:r>
            <w:proofErr w:type="spellEnd"/>
            <w:r w:rsidRPr="009A70A4">
              <w:rPr>
                <w:rFonts w:ascii="Arial" w:eastAsia="Times New Roman" w:hAnsi="Arial" w:cs="Arial"/>
                <w:color w:val="000000"/>
                <w:sz w:val="20"/>
                <w:szCs w:val="20"/>
              </w:rPr>
              <w:t xml:space="preserve"> Grama</w:t>
            </w:r>
          </w:p>
        </w:tc>
        <w:tc>
          <w:tcPr>
            <w:tcW w:w="2520" w:type="dxa"/>
            <w:tcBorders>
              <w:top w:val="nil"/>
              <w:left w:val="nil"/>
              <w:bottom w:val="single" w:sz="4" w:space="0" w:color="auto"/>
              <w:right w:val="single" w:sz="4" w:space="0" w:color="auto"/>
            </w:tcBorders>
            <w:shd w:val="clear" w:color="auto" w:fill="A9D08E"/>
            <w:noWrap/>
            <w:vAlign w:val="bottom"/>
            <w:hideMark/>
          </w:tcPr>
          <w:p w14:paraId="522591B3"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Bouteloua</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curtipendula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6536C6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1.50</w:t>
            </w:r>
          </w:p>
        </w:tc>
        <w:tc>
          <w:tcPr>
            <w:tcW w:w="1170" w:type="dxa"/>
            <w:tcBorders>
              <w:top w:val="nil"/>
              <w:left w:val="nil"/>
              <w:bottom w:val="single" w:sz="4" w:space="0" w:color="auto"/>
              <w:right w:val="single" w:sz="4" w:space="0" w:color="auto"/>
            </w:tcBorders>
            <w:shd w:val="clear" w:color="auto" w:fill="auto"/>
            <w:noWrap/>
            <w:vAlign w:val="bottom"/>
            <w:hideMark/>
          </w:tcPr>
          <w:p w14:paraId="49716B6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6.49%</w:t>
            </w:r>
          </w:p>
        </w:tc>
        <w:tc>
          <w:tcPr>
            <w:tcW w:w="1106" w:type="dxa"/>
            <w:tcBorders>
              <w:top w:val="nil"/>
              <w:left w:val="nil"/>
              <w:bottom w:val="single" w:sz="4" w:space="0" w:color="auto"/>
              <w:right w:val="single" w:sz="4" w:space="0" w:color="auto"/>
            </w:tcBorders>
            <w:shd w:val="clear" w:color="auto" w:fill="auto"/>
            <w:noWrap/>
            <w:vAlign w:val="bottom"/>
            <w:hideMark/>
          </w:tcPr>
          <w:p w14:paraId="1F312D2D"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3.31</w:t>
            </w:r>
          </w:p>
        </w:tc>
        <w:tc>
          <w:tcPr>
            <w:tcW w:w="1054" w:type="dxa"/>
            <w:tcBorders>
              <w:top w:val="nil"/>
              <w:left w:val="nil"/>
              <w:bottom w:val="single" w:sz="4" w:space="0" w:color="auto"/>
              <w:right w:val="single" w:sz="4" w:space="0" w:color="auto"/>
            </w:tcBorders>
            <w:shd w:val="clear" w:color="auto" w:fill="auto"/>
            <w:noWrap/>
            <w:vAlign w:val="bottom"/>
            <w:hideMark/>
          </w:tcPr>
          <w:p w14:paraId="3C9ECF0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6.24%</w:t>
            </w:r>
          </w:p>
        </w:tc>
      </w:tr>
      <w:tr w:rsidR="009A70A4" w:rsidRPr="009A70A4" w14:paraId="208FA99A"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C13BD6B"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bougra</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5C56951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Blue Grama</w:t>
            </w:r>
          </w:p>
        </w:tc>
        <w:tc>
          <w:tcPr>
            <w:tcW w:w="2520" w:type="dxa"/>
            <w:tcBorders>
              <w:top w:val="nil"/>
              <w:left w:val="nil"/>
              <w:bottom w:val="single" w:sz="4" w:space="0" w:color="auto"/>
              <w:right w:val="single" w:sz="4" w:space="0" w:color="auto"/>
            </w:tcBorders>
            <w:shd w:val="clear" w:color="auto" w:fill="A9D08E"/>
            <w:noWrap/>
            <w:vAlign w:val="bottom"/>
            <w:hideMark/>
          </w:tcPr>
          <w:p w14:paraId="00A1E6A1"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Bouteloua</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gracilis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E19511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0.30</w:t>
            </w:r>
          </w:p>
        </w:tc>
        <w:tc>
          <w:tcPr>
            <w:tcW w:w="1170" w:type="dxa"/>
            <w:tcBorders>
              <w:top w:val="nil"/>
              <w:left w:val="nil"/>
              <w:bottom w:val="single" w:sz="4" w:space="0" w:color="auto"/>
              <w:right w:val="single" w:sz="4" w:space="0" w:color="auto"/>
            </w:tcBorders>
            <w:shd w:val="clear" w:color="auto" w:fill="auto"/>
            <w:noWrap/>
            <w:vAlign w:val="bottom"/>
            <w:hideMark/>
          </w:tcPr>
          <w:p w14:paraId="0C494F8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1.30%</w:t>
            </w:r>
          </w:p>
        </w:tc>
        <w:tc>
          <w:tcPr>
            <w:tcW w:w="1106" w:type="dxa"/>
            <w:tcBorders>
              <w:top w:val="nil"/>
              <w:left w:val="nil"/>
              <w:bottom w:val="single" w:sz="4" w:space="0" w:color="auto"/>
              <w:right w:val="single" w:sz="4" w:space="0" w:color="auto"/>
            </w:tcBorders>
            <w:shd w:val="clear" w:color="auto" w:fill="auto"/>
            <w:noWrap/>
            <w:vAlign w:val="bottom"/>
            <w:hideMark/>
          </w:tcPr>
          <w:p w14:paraId="737BCCD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4.41</w:t>
            </w:r>
          </w:p>
        </w:tc>
        <w:tc>
          <w:tcPr>
            <w:tcW w:w="1054" w:type="dxa"/>
            <w:tcBorders>
              <w:top w:val="nil"/>
              <w:left w:val="nil"/>
              <w:bottom w:val="single" w:sz="4" w:space="0" w:color="auto"/>
              <w:right w:val="single" w:sz="4" w:space="0" w:color="auto"/>
            </w:tcBorders>
            <w:shd w:val="clear" w:color="auto" w:fill="auto"/>
            <w:noWrap/>
            <w:vAlign w:val="bottom"/>
            <w:hideMark/>
          </w:tcPr>
          <w:p w14:paraId="6F6F6C0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8.33%</w:t>
            </w:r>
          </w:p>
        </w:tc>
      </w:tr>
      <w:tr w:rsidR="009A70A4" w:rsidRPr="009A70A4" w14:paraId="407E9640"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26A2BD2"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brokal</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7E1FFDF0"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Prairie Brome</w:t>
            </w:r>
          </w:p>
        </w:tc>
        <w:tc>
          <w:tcPr>
            <w:tcW w:w="2520" w:type="dxa"/>
            <w:tcBorders>
              <w:top w:val="nil"/>
              <w:left w:val="nil"/>
              <w:bottom w:val="single" w:sz="4" w:space="0" w:color="auto"/>
              <w:right w:val="single" w:sz="4" w:space="0" w:color="auto"/>
            </w:tcBorders>
            <w:shd w:val="clear" w:color="auto" w:fill="A9D08E"/>
            <w:noWrap/>
            <w:vAlign w:val="bottom"/>
            <w:hideMark/>
          </w:tcPr>
          <w:p w14:paraId="2C5DDA8C"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Bromus </w:t>
            </w:r>
            <w:proofErr w:type="spellStart"/>
            <w:r w:rsidRPr="009A70A4">
              <w:rPr>
                <w:rFonts w:ascii="Arial" w:eastAsia="Times New Roman" w:hAnsi="Arial" w:cs="Arial"/>
                <w:color w:val="000000"/>
                <w:sz w:val="20"/>
                <w:szCs w:val="20"/>
              </w:rPr>
              <w:t>kalmii</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795F82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0.85</w:t>
            </w:r>
          </w:p>
        </w:tc>
        <w:tc>
          <w:tcPr>
            <w:tcW w:w="1170" w:type="dxa"/>
            <w:tcBorders>
              <w:top w:val="nil"/>
              <w:left w:val="nil"/>
              <w:bottom w:val="single" w:sz="4" w:space="0" w:color="auto"/>
              <w:right w:val="single" w:sz="4" w:space="0" w:color="auto"/>
            </w:tcBorders>
            <w:shd w:val="clear" w:color="auto" w:fill="auto"/>
            <w:noWrap/>
            <w:vAlign w:val="bottom"/>
            <w:hideMark/>
          </w:tcPr>
          <w:p w14:paraId="3F5E2BC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3.68%</w:t>
            </w:r>
          </w:p>
        </w:tc>
        <w:tc>
          <w:tcPr>
            <w:tcW w:w="1106" w:type="dxa"/>
            <w:tcBorders>
              <w:top w:val="nil"/>
              <w:left w:val="nil"/>
              <w:bottom w:val="single" w:sz="4" w:space="0" w:color="auto"/>
              <w:right w:val="single" w:sz="4" w:space="0" w:color="auto"/>
            </w:tcBorders>
            <w:shd w:val="clear" w:color="auto" w:fill="auto"/>
            <w:noWrap/>
            <w:vAlign w:val="bottom"/>
            <w:hideMark/>
          </w:tcPr>
          <w:p w14:paraId="1AC2B7A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2.50</w:t>
            </w:r>
          </w:p>
        </w:tc>
        <w:tc>
          <w:tcPr>
            <w:tcW w:w="1054" w:type="dxa"/>
            <w:tcBorders>
              <w:top w:val="nil"/>
              <w:left w:val="nil"/>
              <w:bottom w:val="single" w:sz="4" w:space="0" w:color="auto"/>
              <w:right w:val="single" w:sz="4" w:space="0" w:color="auto"/>
            </w:tcBorders>
            <w:shd w:val="clear" w:color="auto" w:fill="auto"/>
            <w:noWrap/>
            <w:vAlign w:val="bottom"/>
            <w:hideMark/>
          </w:tcPr>
          <w:p w14:paraId="3B0B6DC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4.72%</w:t>
            </w:r>
          </w:p>
        </w:tc>
      </w:tr>
      <w:tr w:rsidR="009A70A4" w:rsidRPr="009A70A4" w14:paraId="6844D2AC"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356E8DE"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elycan</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483081C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Canada Wild Rye</w:t>
            </w:r>
          </w:p>
        </w:tc>
        <w:tc>
          <w:tcPr>
            <w:tcW w:w="2520" w:type="dxa"/>
            <w:tcBorders>
              <w:top w:val="nil"/>
              <w:left w:val="nil"/>
              <w:bottom w:val="single" w:sz="4" w:space="0" w:color="auto"/>
              <w:right w:val="single" w:sz="4" w:space="0" w:color="auto"/>
            </w:tcBorders>
            <w:shd w:val="clear" w:color="auto" w:fill="A9D08E"/>
            <w:noWrap/>
            <w:vAlign w:val="bottom"/>
            <w:hideMark/>
          </w:tcPr>
          <w:p w14:paraId="07EEEC0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Elymus canadensis</w:t>
            </w:r>
          </w:p>
        </w:tc>
        <w:tc>
          <w:tcPr>
            <w:tcW w:w="900" w:type="dxa"/>
            <w:tcBorders>
              <w:top w:val="nil"/>
              <w:left w:val="nil"/>
              <w:bottom w:val="single" w:sz="4" w:space="0" w:color="auto"/>
              <w:right w:val="single" w:sz="4" w:space="0" w:color="auto"/>
            </w:tcBorders>
            <w:shd w:val="clear" w:color="auto" w:fill="auto"/>
            <w:noWrap/>
            <w:vAlign w:val="bottom"/>
            <w:hideMark/>
          </w:tcPr>
          <w:p w14:paraId="73E0DE3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0.80</w:t>
            </w:r>
          </w:p>
        </w:tc>
        <w:tc>
          <w:tcPr>
            <w:tcW w:w="1170" w:type="dxa"/>
            <w:tcBorders>
              <w:top w:val="nil"/>
              <w:left w:val="nil"/>
              <w:bottom w:val="single" w:sz="4" w:space="0" w:color="auto"/>
              <w:right w:val="single" w:sz="4" w:space="0" w:color="auto"/>
            </w:tcBorders>
            <w:shd w:val="clear" w:color="auto" w:fill="auto"/>
            <w:noWrap/>
            <w:vAlign w:val="bottom"/>
            <w:hideMark/>
          </w:tcPr>
          <w:p w14:paraId="14B9EDD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3.46%</w:t>
            </w:r>
          </w:p>
        </w:tc>
        <w:tc>
          <w:tcPr>
            <w:tcW w:w="1106" w:type="dxa"/>
            <w:tcBorders>
              <w:top w:val="nil"/>
              <w:left w:val="nil"/>
              <w:bottom w:val="single" w:sz="4" w:space="0" w:color="auto"/>
              <w:right w:val="single" w:sz="4" w:space="0" w:color="auto"/>
            </w:tcBorders>
            <w:shd w:val="clear" w:color="auto" w:fill="auto"/>
            <w:noWrap/>
            <w:vAlign w:val="bottom"/>
            <w:hideMark/>
          </w:tcPr>
          <w:p w14:paraId="3BE6801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1.53</w:t>
            </w:r>
          </w:p>
        </w:tc>
        <w:tc>
          <w:tcPr>
            <w:tcW w:w="1054" w:type="dxa"/>
            <w:tcBorders>
              <w:top w:val="nil"/>
              <w:left w:val="nil"/>
              <w:bottom w:val="single" w:sz="4" w:space="0" w:color="auto"/>
              <w:right w:val="single" w:sz="4" w:space="0" w:color="auto"/>
            </w:tcBorders>
            <w:shd w:val="clear" w:color="auto" w:fill="auto"/>
            <w:noWrap/>
            <w:vAlign w:val="bottom"/>
            <w:hideMark/>
          </w:tcPr>
          <w:p w14:paraId="14CBC4AD"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2.89%</w:t>
            </w:r>
          </w:p>
        </w:tc>
      </w:tr>
      <w:tr w:rsidR="009A70A4" w:rsidRPr="009A70A4" w14:paraId="5A599512"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35308AC"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elyhys</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13806F7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Bottlebrush Grass</w:t>
            </w:r>
          </w:p>
        </w:tc>
        <w:tc>
          <w:tcPr>
            <w:tcW w:w="2520" w:type="dxa"/>
            <w:tcBorders>
              <w:top w:val="nil"/>
              <w:left w:val="nil"/>
              <w:bottom w:val="single" w:sz="4" w:space="0" w:color="auto"/>
              <w:right w:val="single" w:sz="4" w:space="0" w:color="auto"/>
            </w:tcBorders>
            <w:shd w:val="clear" w:color="auto" w:fill="A9D08E"/>
            <w:noWrap/>
            <w:vAlign w:val="bottom"/>
            <w:hideMark/>
          </w:tcPr>
          <w:p w14:paraId="414054C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Elymus </w:t>
            </w:r>
            <w:proofErr w:type="spellStart"/>
            <w:r w:rsidRPr="009A70A4">
              <w:rPr>
                <w:rFonts w:ascii="Arial" w:eastAsia="Times New Roman" w:hAnsi="Arial" w:cs="Arial"/>
                <w:color w:val="000000"/>
                <w:sz w:val="20"/>
                <w:szCs w:val="20"/>
              </w:rPr>
              <w:t>hystrix</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C00895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1BA1B9E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0.43%</w:t>
            </w:r>
          </w:p>
        </w:tc>
        <w:tc>
          <w:tcPr>
            <w:tcW w:w="1106" w:type="dxa"/>
            <w:tcBorders>
              <w:top w:val="nil"/>
              <w:left w:val="nil"/>
              <w:bottom w:val="single" w:sz="4" w:space="0" w:color="auto"/>
              <w:right w:val="single" w:sz="4" w:space="0" w:color="auto"/>
            </w:tcBorders>
            <w:shd w:val="clear" w:color="auto" w:fill="auto"/>
            <w:noWrap/>
            <w:vAlign w:val="bottom"/>
            <w:hideMark/>
          </w:tcPr>
          <w:p w14:paraId="2665B0F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0.28</w:t>
            </w:r>
          </w:p>
        </w:tc>
        <w:tc>
          <w:tcPr>
            <w:tcW w:w="1054" w:type="dxa"/>
            <w:tcBorders>
              <w:top w:val="nil"/>
              <w:left w:val="nil"/>
              <w:bottom w:val="single" w:sz="4" w:space="0" w:color="auto"/>
              <w:right w:val="single" w:sz="4" w:space="0" w:color="auto"/>
            </w:tcBorders>
            <w:shd w:val="clear" w:color="auto" w:fill="auto"/>
            <w:noWrap/>
            <w:vAlign w:val="bottom"/>
            <w:hideMark/>
          </w:tcPr>
          <w:p w14:paraId="264258E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0.53%</w:t>
            </w:r>
          </w:p>
        </w:tc>
      </w:tr>
      <w:tr w:rsidR="009A70A4" w:rsidRPr="009A70A4" w14:paraId="0100737E"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9B8B6BF"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elyvil</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7E4783BE"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Silky Wild Rye</w:t>
            </w:r>
          </w:p>
        </w:tc>
        <w:tc>
          <w:tcPr>
            <w:tcW w:w="2520" w:type="dxa"/>
            <w:tcBorders>
              <w:top w:val="nil"/>
              <w:left w:val="nil"/>
              <w:bottom w:val="single" w:sz="4" w:space="0" w:color="auto"/>
              <w:right w:val="single" w:sz="4" w:space="0" w:color="auto"/>
            </w:tcBorders>
            <w:shd w:val="clear" w:color="auto" w:fill="A9D08E"/>
            <w:noWrap/>
            <w:vAlign w:val="bottom"/>
            <w:hideMark/>
          </w:tcPr>
          <w:p w14:paraId="1895FF5F"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Elymus </w:t>
            </w:r>
            <w:proofErr w:type="spellStart"/>
            <w:r w:rsidRPr="009A70A4">
              <w:rPr>
                <w:rFonts w:ascii="Arial" w:eastAsia="Times New Roman" w:hAnsi="Arial" w:cs="Arial"/>
                <w:color w:val="000000"/>
                <w:sz w:val="20"/>
                <w:szCs w:val="20"/>
              </w:rPr>
              <w:t>villosus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D728FFD"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3F0ACAC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1.08%</w:t>
            </w:r>
          </w:p>
        </w:tc>
        <w:tc>
          <w:tcPr>
            <w:tcW w:w="1106" w:type="dxa"/>
            <w:tcBorders>
              <w:top w:val="nil"/>
              <w:left w:val="nil"/>
              <w:bottom w:val="single" w:sz="4" w:space="0" w:color="auto"/>
              <w:right w:val="single" w:sz="4" w:space="0" w:color="auto"/>
            </w:tcBorders>
            <w:shd w:val="clear" w:color="auto" w:fill="auto"/>
            <w:noWrap/>
            <w:vAlign w:val="bottom"/>
            <w:hideMark/>
          </w:tcPr>
          <w:p w14:paraId="1C1132E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0.51</w:t>
            </w:r>
          </w:p>
        </w:tc>
        <w:tc>
          <w:tcPr>
            <w:tcW w:w="1054" w:type="dxa"/>
            <w:tcBorders>
              <w:top w:val="nil"/>
              <w:left w:val="nil"/>
              <w:bottom w:val="single" w:sz="4" w:space="0" w:color="auto"/>
              <w:right w:val="single" w:sz="4" w:space="0" w:color="auto"/>
            </w:tcBorders>
            <w:shd w:val="clear" w:color="auto" w:fill="auto"/>
            <w:noWrap/>
            <w:vAlign w:val="bottom"/>
            <w:hideMark/>
          </w:tcPr>
          <w:p w14:paraId="5ADA3A6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0.95%</w:t>
            </w:r>
          </w:p>
        </w:tc>
      </w:tr>
      <w:tr w:rsidR="009A70A4" w:rsidRPr="009A70A4" w14:paraId="53BC32EC"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95B60F9"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elyvir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11A3ECC7"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Virginia Wild Rye</w:t>
            </w:r>
          </w:p>
        </w:tc>
        <w:tc>
          <w:tcPr>
            <w:tcW w:w="2520" w:type="dxa"/>
            <w:tcBorders>
              <w:top w:val="nil"/>
              <w:left w:val="nil"/>
              <w:bottom w:val="single" w:sz="4" w:space="0" w:color="auto"/>
              <w:right w:val="single" w:sz="4" w:space="0" w:color="auto"/>
            </w:tcBorders>
            <w:shd w:val="clear" w:color="auto" w:fill="A9D08E"/>
            <w:noWrap/>
            <w:vAlign w:val="bottom"/>
            <w:hideMark/>
          </w:tcPr>
          <w:p w14:paraId="58BF55BC"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Elymus </w:t>
            </w:r>
            <w:proofErr w:type="spellStart"/>
            <w:r w:rsidRPr="009A70A4">
              <w:rPr>
                <w:rFonts w:ascii="Arial" w:eastAsia="Times New Roman" w:hAnsi="Arial" w:cs="Arial"/>
                <w:color w:val="000000"/>
                <w:sz w:val="20"/>
                <w:szCs w:val="20"/>
              </w:rPr>
              <w:t>virginicus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F4901C6"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0.65</w:t>
            </w:r>
          </w:p>
        </w:tc>
        <w:tc>
          <w:tcPr>
            <w:tcW w:w="1170" w:type="dxa"/>
            <w:tcBorders>
              <w:top w:val="nil"/>
              <w:left w:val="nil"/>
              <w:bottom w:val="single" w:sz="4" w:space="0" w:color="auto"/>
              <w:right w:val="single" w:sz="4" w:space="0" w:color="auto"/>
            </w:tcBorders>
            <w:shd w:val="clear" w:color="auto" w:fill="auto"/>
            <w:noWrap/>
            <w:vAlign w:val="bottom"/>
            <w:hideMark/>
          </w:tcPr>
          <w:p w14:paraId="6ED5DD7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2.81%</w:t>
            </w:r>
          </w:p>
        </w:tc>
        <w:tc>
          <w:tcPr>
            <w:tcW w:w="1106" w:type="dxa"/>
            <w:tcBorders>
              <w:top w:val="nil"/>
              <w:left w:val="nil"/>
              <w:bottom w:val="single" w:sz="4" w:space="0" w:color="auto"/>
              <w:right w:val="single" w:sz="4" w:space="0" w:color="auto"/>
            </w:tcBorders>
            <w:shd w:val="clear" w:color="auto" w:fill="auto"/>
            <w:noWrap/>
            <w:vAlign w:val="bottom"/>
            <w:hideMark/>
          </w:tcPr>
          <w:p w14:paraId="1D9D5A6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1.00</w:t>
            </w:r>
          </w:p>
        </w:tc>
        <w:tc>
          <w:tcPr>
            <w:tcW w:w="1054" w:type="dxa"/>
            <w:tcBorders>
              <w:top w:val="nil"/>
              <w:left w:val="nil"/>
              <w:bottom w:val="single" w:sz="4" w:space="0" w:color="auto"/>
              <w:right w:val="single" w:sz="4" w:space="0" w:color="auto"/>
            </w:tcBorders>
            <w:shd w:val="clear" w:color="auto" w:fill="auto"/>
            <w:noWrap/>
            <w:vAlign w:val="bottom"/>
            <w:hideMark/>
          </w:tcPr>
          <w:p w14:paraId="38A2AC6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1.89%</w:t>
            </w:r>
          </w:p>
        </w:tc>
      </w:tr>
      <w:tr w:rsidR="009A70A4" w:rsidRPr="009A70A4" w14:paraId="1A08082E"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5FA6338"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fessub</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21BD533B"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Nodding Fescue</w:t>
            </w:r>
          </w:p>
        </w:tc>
        <w:tc>
          <w:tcPr>
            <w:tcW w:w="2520" w:type="dxa"/>
            <w:tcBorders>
              <w:top w:val="nil"/>
              <w:left w:val="nil"/>
              <w:bottom w:val="single" w:sz="4" w:space="0" w:color="auto"/>
              <w:right w:val="single" w:sz="4" w:space="0" w:color="auto"/>
            </w:tcBorders>
            <w:shd w:val="clear" w:color="auto" w:fill="A9D08E"/>
            <w:noWrap/>
            <w:vAlign w:val="bottom"/>
            <w:hideMark/>
          </w:tcPr>
          <w:p w14:paraId="772EC9E2"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Festuca </w:t>
            </w:r>
            <w:proofErr w:type="spellStart"/>
            <w:r w:rsidRPr="009A70A4">
              <w:rPr>
                <w:rFonts w:ascii="Arial" w:eastAsia="Times New Roman" w:hAnsi="Arial" w:cs="Arial"/>
                <w:color w:val="000000"/>
                <w:sz w:val="20"/>
                <w:szCs w:val="20"/>
              </w:rPr>
              <w:t>subverticillata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903DFE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04B29EF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5389BDC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0.37</w:t>
            </w:r>
          </w:p>
        </w:tc>
        <w:tc>
          <w:tcPr>
            <w:tcW w:w="1054" w:type="dxa"/>
            <w:tcBorders>
              <w:top w:val="nil"/>
              <w:left w:val="nil"/>
              <w:bottom w:val="single" w:sz="4" w:space="0" w:color="auto"/>
              <w:right w:val="single" w:sz="4" w:space="0" w:color="auto"/>
            </w:tcBorders>
            <w:shd w:val="clear" w:color="auto" w:fill="auto"/>
            <w:noWrap/>
            <w:vAlign w:val="bottom"/>
            <w:hideMark/>
          </w:tcPr>
          <w:p w14:paraId="664256C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0.69%</w:t>
            </w:r>
          </w:p>
        </w:tc>
      </w:tr>
      <w:tr w:rsidR="009A70A4" w:rsidRPr="009A70A4" w14:paraId="1630F280"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12E982A"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koemac</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339059BA"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June Grass</w:t>
            </w:r>
          </w:p>
        </w:tc>
        <w:tc>
          <w:tcPr>
            <w:tcW w:w="2520" w:type="dxa"/>
            <w:tcBorders>
              <w:top w:val="nil"/>
              <w:left w:val="nil"/>
              <w:bottom w:val="single" w:sz="4" w:space="0" w:color="auto"/>
              <w:right w:val="single" w:sz="4" w:space="0" w:color="auto"/>
            </w:tcBorders>
            <w:shd w:val="clear" w:color="auto" w:fill="A9D08E"/>
            <w:noWrap/>
            <w:vAlign w:val="bottom"/>
            <w:hideMark/>
          </w:tcPr>
          <w:p w14:paraId="43CEFF9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Koeleria </w:t>
            </w:r>
            <w:proofErr w:type="spellStart"/>
            <w:r w:rsidRPr="009A70A4">
              <w:rPr>
                <w:rFonts w:ascii="Arial" w:eastAsia="Times New Roman" w:hAnsi="Arial" w:cs="Arial"/>
                <w:color w:val="000000"/>
                <w:sz w:val="20"/>
                <w:szCs w:val="20"/>
              </w:rPr>
              <w:t>macrantha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72F7D6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73EB7BF6"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0.43%</w:t>
            </w:r>
          </w:p>
        </w:tc>
        <w:tc>
          <w:tcPr>
            <w:tcW w:w="1106" w:type="dxa"/>
            <w:tcBorders>
              <w:top w:val="nil"/>
              <w:left w:val="nil"/>
              <w:bottom w:val="single" w:sz="4" w:space="0" w:color="auto"/>
              <w:right w:val="single" w:sz="4" w:space="0" w:color="auto"/>
            </w:tcBorders>
            <w:shd w:val="clear" w:color="auto" w:fill="auto"/>
            <w:noWrap/>
            <w:vAlign w:val="bottom"/>
            <w:hideMark/>
          </w:tcPr>
          <w:p w14:paraId="2BFF839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7.35</w:t>
            </w:r>
          </w:p>
        </w:tc>
        <w:tc>
          <w:tcPr>
            <w:tcW w:w="1054" w:type="dxa"/>
            <w:tcBorders>
              <w:top w:val="nil"/>
              <w:left w:val="nil"/>
              <w:bottom w:val="single" w:sz="4" w:space="0" w:color="auto"/>
              <w:right w:val="single" w:sz="4" w:space="0" w:color="auto"/>
            </w:tcBorders>
            <w:shd w:val="clear" w:color="auto" w:fill="auto"/>
            <w:noWrap/>
            <w:vAlign w:val="bottom"/>
            <w:hideMark/>
          </w:tcPr>
          <w:p w14:paraId="04679E4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13.88%</w:t>
            </w:r>
          </w:p>
        </w:tc>
      </w:tr>
      <w:tr w:rsidR="009A70A4" w:rsidRPr="009A70A4" w14:paraId="19F53CDE"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ED3DC02"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schsco</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50AC2BD1"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Little Bluestem</w:t>
            </w:r>
          </w:p>
        </w:tc>
        <w:tc>
          <w:tcPr>
            <w:tcW w:w="2520" w:type="dxa"/>
            <w:tcBorders>
              <w:top w:val="nil"/>
              <w:left w:val="nil"/>
              <w:bottom w:val="single" w:sz="4" w:space="0" w:color="auto"/>
              <w:right w:val="single" w:sz="4" w:space="0" w:color="auto"/>
            </w:tcBorders>
            <w:shd w:val="clear" w:color="auto" w:fill="A9D08E"/>
            <w:noWrap/>
            <w:vAlign w:val="bottom"/>
            <w:hideMark/>
          </w:tcPr>
          <w:p w14:paraId="7819CAC3"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Schizachyrium</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scoparium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08492E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0.75</w:t>
            </w:r>
          </w:p>
        </w:tc>
        <w:tc>
          <w:tcPr>
            <w:tcW w:w="1170" w:type="dxa"/>
            <w:tcBorders>
              <w:top w:val="nil"/>
              <w:left w:val="nil"/>
              <w:bottom w:val="single" w:sz="4" w:space="0" w:color="auto"/>
              <w:right w:val="single" w:sz="4" w:space="0" w:color="auto"/>
            </w:tcBorders>
            <w:shd w:val="clear" w:color="auto" w:fill="auto"/>
            <w:noWrap/>
            <w:vAlign w:val="bottom"/>
            <w:hideMark/>
          </w:tcPr>
          <w:p w14:paraId="490374E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3.25%</w:t>
            </w:r>
          </w:p>
        </w:tc>
        <w:tc>
          <w:tcPr>
            <w:tcW w:w="1106" w:type="dxa"/>
            <w:tcBorders>
              <w:top w:val="nil"/>
              <w:left w:val="nil"/>
              <w:bottom w:val="single" w:sz="4" w:space="0" w:color="auto"/>
              <w:right w:val="single" w:sz="4" w:space="0" w:color="auto"/>
            </w:tcBorders>
            <w:shd w:val="clear" w:color="auto" w:fill="auto"/>
            <w:noWrap/>
            <w:vAlign w:val="bottom"/>
            <w:hideMark/>
          </w:tcPr>
          <w:p w14:paraId="24A9112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4.13</w:t>
            </w:r>
          </w:p>
        </w:tc>
        <w:tc>
          <w:tcPr>
            <w:tcW w:w="1054" w:type="dxa"/>
            <w:tcBorders>
              <w:top w:val="nil"/>
              <w:left w:val="nil"/>
              <w:bottom w:val="single" w:sz="4" w:space="0" w:color="auto"/>
              <w:right w:val="single" w:sz="4" w:space="0" w:color="auto"/>
            </w:tcBorders>
            <w:shd w:val="clear" w:color="auto" w:fill="auto"/>
            <w:noWrap/>
            <w:vAlign w:val="bottom"/>
            <w:hideMark/>
          </w:tcPr>
          <w:p w14:paraId="0504888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7.81%</w:t>
            </w:r>
          </w:p>
        </w:tc>
      </w:tr>
      <w:tr w:rsidR="009A70A4" w:rsidRPr="009A70A4" w14:paraId="178A98DF"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02CC41F"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spohet</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006CD14D"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Prairie Dropseed</w:t>
            </w:r>
          </w:p>
        </w:tc>
        <w:tc>
          <w:tcPr>
            <w:tcW w:w="2520" w:type="dxa"/>
            <w:tcBorders>
              <w:top w:val="nil"/>
              <w:left w:val="nil"/>
              <w:bottom w:val="single" w:sz="4" w:space="0" w:color="auto"/>
              <w:right w:val="single" w:sz="4" w:space="0" w:color="auto"/>
            </w:tcBorders>
            <w:shd w:val="clear" w:color="auto" w:fill="A9D08E"/>
            <w:noWrap/>
            <w:vAlign w:val="bottom"/>
            <w:hideMark/>
          </w:tcPr>
          <w:p w14:paraId="69A62A25"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Sporobolus </w:t>
            </w:r>
            <w:proofErr w:type="spellStart"/>
            <w:r w:rsidRPr="009A70A4">
              <w:rPr>
                <w:rFonts w:ascii="Arial" w:eastAsia="Times New Roman" w:hAnsi="Arial" w:cs="Arial"/>
                <w:color w:val="000000"/>
                <w:sz w:val="20"/>
                <w:szCs w:val="20"/>
              </w:rPr>
              <w:t>heterolepis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6ABCFF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28562C1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2.16%</w:t>
            </w:r>
          </w:p>
        </w:tc>
        <w:tc>
          <w:tcPr>
            <w:tcW w:w="1106" w:type="dxa"/>
            <w:tcBorders>
              <w:top w:val="nil"/>
              <w:left w:val="nil"/>
              <w:bottom w:val="single" w:sz="4" w:space="0" w:color="auto"/>
              <w:right w:val="single" w:sz="4" w:space="0" w:color="auto"/>
            </w:tcBorders>
            <w:shd w:val="clear" w:color="auto" w:fill="auto"/>
            <w:noWrap/>
            <w:vAlign w:val="bottom"/>
            <w:hideMark/>
          </w:tcPr>
          <w:p w14:paraId="0CE5734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2.94</w:t>
            </w:r>
          </w:p>
        </w:tc>
        <w:tc>
          <w:tcPr>
            <w:tcW w:w="1054" w:type="dxa"/>
            <w:tcBorders>
              <w:top w:val="nil"/>
              <w:left w:val="nil"/>
              <w:bottom w:val="single" w:sz="4" w:space="0" w:color="auto"/>
              <w:right w:val="single" w:sz="4" w:space="0" w:color="auto"/>
            </w:tcBorders>
            <w:shd w:val="clear" w:color="auto" w:fill="auto"/>
            <w:noWrap/>
            <w:vAlign w:val="bottom"/>
            <w:hideMark/>
          </w:tcPr>
          <w:p w14:paraId="5983276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5.55%</w:t>
            </w:r>
          </w:p>
        </w:tc>
      </w:tr>
      <w:tr w:rsidR="009A70A4" w:rsidRPr="009A70A4" w14:paraId="1AD6FBFC"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9BC2E6"/>
            <w:noWrap/>
            <w:vAlign w:val="bottom"/>
            <w:hideMark/>
          </w:tcPr>
          <w:p w14:paraId="3B175451"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132" w:type="dxa"/>
            <w:tcBorders>
              <w:top w:val="nil"/>
              <w:left w:val="nil"/>
              <w:bottom w:val="single" w:sz="4" w:space="0" w:color="auto"/>
              <w:right w:val="single" w:sz="4" w:space="0" w:color="auto"/>
            </w:tcBorders>
            <w:shd w:val="clear" w:color="auto" w:fill="9BC2E6"/>
            <w:noWrap/>
            <w:vAlign w:val="bottom"/>
            <w:hideMark/>
          </w:tcPr>
          <w:p w14:paraId="090A6ED6"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520" w:type="dxa"/>
            <w:tcBorders>
              <w:top w:val="nil"/>
              <w:left w:val="nil"/>
              <w:bottom w:val="single" w:sz="4" w:space="0" w:color="auto"/>
              <w:right w:val="single" w:sz="4" w:space="0" w:color="auto"/>
            </w:tcBorders>
            <w:shd w:val="clear" w:color="auto" w:fill="9BC2E6"/>
            <w:noWrap/>
            <w:vAlign w:val="bottom"/>
            <w:hideMark/>
          </w:tcPr>
          <w:p w14:paraId="704ABF30"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Grasses Subtotal</w:t>
            </w:r>
          </w:p>
        </w:tc>
        <w:tc>
          <w:tcPr>
            <w:tcW w:w="900" w:type="dxa"/>
            <w:tcBorders>
              <w:top w:val="nil"/>
              <w:left w:val="nil"/>
              <w:bottom w:val="single" w:sz="4" w:space="0" w:color="auto"/>
              <w:right w:val="single" w:sz="4" w:space="0" w:color="auto"/>
            </w:tcBorders>
            <w:shd w:val="clear" w:color="auto" w:fill="9BC2E6"/>
            <w:noWrap/>
            <w:vAlign w:val="bottom"/>
            <w:hideMark/>
          </w:tcPr>
          <w:p w14:paraId="7E957E28"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5.85</w:t>
            </w:r>
          </w:p>
        </w:tc>
        <w:tc>
          <w:tcPr>
            <w:tcW w:w="1170" w:type="dxa"/>
            <w:tcBorders>
              <w:top w:val="nil"/>
              <w:left w:val="nil"/>
              <w:bottom w:val="single" w:sz="4" w:space="0" w:color="auto"/>
              <w:right w:val="single" w:sz="4" w:space="0" w:color="auto"/>
            </w:tcBorders>
            <w:shd w:val="clear" w:color="auto" w:fill="9BC2E6"/>
            <w:noWrap/>
            <w:vAlign w:val="bottom"/>
            <w:hideMark/>
          </w:tcPr>
          <w:p w14:paraId="4815D01F"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25.32%</w:t>
            </w:r>
          </w:p>
        </w:tc>
        <w:tc>
          <w:tcPr>
            <w:tcW w:w="1106" w:type="dxa"/>
            <w:tcBorders>
              <w:top w:val="nil"/>
              <w:left w:val="nil"/>
              <w:bottom w:val="single" w:sz="4" w:space="0" w:color="auto"/>
              <w:right w:val="single" w:sz="4" w:space="0" w:color="auto"/>
            </w:tcBorders>
            <w:shd w:val="clear" w:color="auto" w:fill="9BC2E6"/>
            <w:noWrap/>
            <w:vAlign w:val="bottom"/>
            <w:hideMark/>
          </w:tcPr>
          <w:p w14:paraId="07DE1E64"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28.31</w:t>
            </w:r>
          </w:p>
        </w:tc>
        <w:tc>
          <w:tcPr>
            <w:tcW w:w="1054" w:type="dxa"/>
            <w:tcBorders>
              <w:top w:val="nil"/>
              <w:left w:val="nil"/>
              <w:bottom w:val="single" w:sz="4" w:space="0" w:color="auto"/>
              <w:right w:val="single" w:sz="4" w:space="0" w:color="auto"/>
            </w:tcBorders>
            <w:shd w:val="clear" w:color="auto" w:fill="9BC2E6"/>
            <w:noWrap/>
            <w:vAlign w:val="bottom"/>
            <w:hideMark/>
          </w:tcPr>
          <w:p w14:paraId="6F408FBB"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53.47%</w:t>
            </w:r>
          </w:p>
        </w:tc>
      </w:tr>
      <w:tr w:rsidR="009A70A4" w:rsidRPr="009A70A4" w14:paraId="7477C4AC"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48DC08C"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carbic</w:t>
            </w:r>
          </w:p>
        </w:tc>
        <w:tc>
          <w:tcPr>
            <w:tcW w:w="2132" w:type="dxa"/>
            <w:tcBorders>
              <w:top w:val="nil"/>
              <w:left w:val="nil"/>
              <w:bottom w:val="single" w:sz="4" w:space="0" w:color="auto"/>
              <w:right w:val="single" w:sz="4" w:space="0" w:color="auto"/>
            </w:tcBorders>
            <w:shd w:val="clear" w:color="auto" w:fill="auto"/>
            <w:noWrap/>
            <w:vAlign w:val="bottom"/>
            <w:hideMark/>
          </w:tcPr>
          <w:p w14:paraId="0D20981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Bicknell's Sedge</w:t>
            </w:r>
          </w:p>
        </w:tc>
        <w:tc>
          <w:tcPr>
            <w:tcW w:w="2520" w:type="dxa"/>
            <w:tcBorders>
              <w:top w:val="nil"/>
              <w:left w:val="nil"/>
              <w:bottom w:val="single" w:sz="4" w:space="0" w:color="auto"/>
              <w:right w:val="single" w:sz="4" w:space="0" w:color="auto"/>
            </w:tcBorders>
            <w:shd w:val="clear" w:color="auto" w:fill="A9D08E"/>
            <w:noWrap/>
            <w:vAlign w:val="bottom"/>
            <w:hideMark/>
          </w:tcPr>
          <w:p w14:paraId="3676C2E1"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Carex</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bicknellii</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051F118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13EF1439"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55E7957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0.31</w:t>
            </w:r>
          </w:p>
        </w:tc>
        <w:tc>
          <w:tcPr>
            <w:tcW w:w="1054" w:type="dxa"/>
            <w:tcBorders>
              <w:top w:val="nil"/>
              <w:left w:val="nil"/>
              <w:bottom w:val="single" w:sz="4" w:space="0" w:color="auto"/>
              <w:right w:val="single" w:sz="4" w:space="0" w:color="auto"/>
            </w:tcBorders>
            <w:shd w:val="clear" w:color="auto" w:fill="auto"/>
            <w:noWrap/>
            <w:vAlign w:val="bottom"/>
            <w:hideMark/>
          </w:tcPr>
          <w:p w14:paraId="305CD58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0.59%</w:t>
            </w:r>
          </w:p>
        </w:tc>
      </w:tr>
      <w:tr w:rsidR="009A70A4" w:rsidRPr="009A70A4" w14:paraId="52246448"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1C102A1"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carbre</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548EB5FA"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Plains Oval Sedge</w:t>
            </w:r>
          </w:p>
        </w:tc>
        <w:tc>
          <w:tcPr>
            <w:tcW w:w="2520" w:type="dxa"/>
            <w:tcBorders>
              <w:top w:val="nil"/>
              <w:left w:val="nil"/>
              <w:bottom w:val="single" w:sz="4" w:space="0" w:color="auto"/>
              <w:right w:val="single" w:sz="4" w:space="0" w:color="auto"/>
            </w:tcBorders>
            <w:shd w:val="clear" w:color="auto" w:fill="A9D08E"/>
            <w:noWrap/>
            <w:vAlign w:val="bottom"/>
            <w:hideMark/>
          </w:tcPr>
          <w:p w14:paraId="01E80959"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Carex</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brevior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DBB406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53A345B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39B5EC66"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0.53</w:t>
            </w:r>
          </w:p>
        </w:tc>
        <w:tc>
          <w:tcPr>
            <w:tcW w:w="1054" w:type="dxa"/>
            <w:tcBorders>
              <w:top w:val="nil"/>
              <w:left w:val="nil"/>
              <w:bottom w:val="single" w:sz="4" w:space="0" w:color="auto"/>
              <w:right w:val="single" w:sz="4" w:space="0" w:color="auto"/>
            </w:tcBorders>
            <w:shd w:val="clear" w:color="auto" w:fill="auto"/>
            <w:noWrap/>
            <w:vAlign w:val="bottom"/>
            <w:hideMark/>
          </w:tcPr>
          <w:p w14:paraId="133ACF0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1.01%</w:t>
            </w:r>
          </w:p>
        </w:tc>
      </w:tr>
      <w:tr w:rsidR="009A70A4" w:rsidRPr="009A70A4" w14:paraId="1767A514"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927EEDA"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carspr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6C031315"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Long-beaked Sedge</w:t>
            </w:r>
          </w:p>
        </w:tc>
        <w:tc>
          <w:tcPr>
            <w:tcW w:w="2520" w:type="dxa"/>
            <w:tcBorders>
              <w:top w:val="nil"/>
              <w:left w:val="nil"/>
              <w:bottom w:val="single" w:sz="4" w:space="0" w:color="auto"/>
              <w:right w:val="single" w:sz="4" w:space="0" w:color="auto"/>
            </w:tcBorders>
            <w:shd w:val="clear" w:color="auto" w:fill="A9D08E"/>
            <w:noWrap/>
            <w:vAlign w:val="bottom"/>
            <w:hideMark/>
          </w:tcPr>
          <w:p w14:paraId="4D00106D"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Carex</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sprengelii</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68312E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3D799BB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7D58576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0.18</w:t>
            </w:r>
          </w:p>
        </w:tc>
        <w:tc>
          <w:tcPr>
            <w:tcW w:w="1054" w:type="dxa"/>
            <w:tcBorders>
              <w:top w:val="nil"/>
              <w:left w:val="nil"/>
              <w:bottom w:val="single" w:sz="4" w:space="0" w:color="auto"/>
              <w:right w:val="single" w:sz="4" w:space="0" w:color="auto"/>
            </w:tcBorders>
            <w:shd w:val="clear" w:color="auto" w:fill="auto"/>
            <w:noWrap/>
            <w:vAlign w:val="bottom"/>
            <w:hideMark/>
          </w:tcPr>
          <w:p w14:paraId="411D2D8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0.35%</w:t>
            </w:r>
          </w:p>
        </w:tc>
      </w:tr>
      <w:tr w:rsidR="009A70A4" w:rsidRPr="009A70A4" w14:paraId="10E1205C"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9BC2E6"/>
            <w:noWrap/>
            <w:vAlign w:val="bottom"/>
            <w:hideMark/>
          </w:tcPr>
          <w:p w14:paraId="7E34A35D"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132" w:type="dxa"/>
            <w:tcBorders>
              <w:top w:val="nil"/>
              <w:left w:val="nil"/>
              <w:bottom w:val="single" w:sz="4" w:space="0" w:color="auto"/>
              <w:right w:val="single" w:sz="4" w:space="0" w:color="auto"/>
            </w:tcBorders>
            <w:shd w:val="clear" w:color="auto" w:fill="9BC2E6"/>
            <w:noWrap/>
            <w:vAlign w:val="bottom"/>
            <w:hideMark/>
          </w:tcPr>
          <w:p w14:paraId="446C2258"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520" w:type="dxa"/>
            <w:tcBorders>
              <w:top w:val="nil"/>
              <w:left w:val="nil"/>
              <w:bottom w:val="single" w:sz="4" w:space="0" w:color="auto"/>
              <w:right w:val="single" w:sz="4" w:space="0" w:color="auto"/>
            </w:tcBorders>
            <w:shd w:val="clear" w:color="auto" w:fill="9BC2E6"/>
            <w:noWrap/>
            <w:vAlign w:val="bottom"/>
            <w:hideMark/>
          </w:tcPr>
          <w:p w14:paraId="036E51AE"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Sedges &amp; Rushes Subtotal</w:t>
            </w:r>
          </w:p>
        </w:tc>
        <w:tc>
          <w:tcPr>
            <w:tcW w:w="900" w:type="dxa"/>
            <w:tcBorders>
              <w:top w:val="nil"/>
              <w:left w:val="nil"/>
              <w:bottom w:val="single" w:sz="4" w:space="0" w:color="auto"/>
              <w:right w:val="single" w:sz="4" w:space="0" w:color="auto"/>
            </w:tcBorders>
            <w:shd w:val="clear" w:color="auto" w:fill="9BC2E6"/>
            <w:noWrap/>
            <w:vAlign w:val="bottom"/>
            <w:hideMark/>
          </w:tcPr>
          <w:p w14:paraId="3A402D2B"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0.15</w:t>
            </w:r>
          </w:p>
        </w:tc>
        <w:tc>
          <w:tcPr>
            <w:tcW w:w="1170" w:type="dxa"/>
            <w:tcBorders>
              <w:top w:val="nil"/>
              <w:left w:val="nil"/>
              <w:bottom w:val="single" w:sz="4" w:space="0" w:color="auto"/>
              <w:right w:val="single" w:sz="4" w:space="0" w:color="auto"/>
            </w:tcBorders>
            <w:shd w:val="clear" w:color="auto" w:fill="9BC2E6"/>
            <w:noWrap/>
            <w:vAlign w:val="bottom"/>
            <w:hideMark/>
          </w:tcPr>
          <w:p w14:paraId="4B11A3DC"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0.65%</w:t>
            </w:r>
          </w:p>
        </w:tc>
        <w:tc>
          <w:tcPr>
            <w:tcW w:w="1106" w:type="dxa"/>
            <w:tcBorders>
              <w:top w:val="nil"/>
              <w:left w:val="nil"/>
              <w:bottom w:val="single" w:sz="4" w:space="0" w:color="auto"/>
              <w:right w:val="single" w:sz="4" w:space="0" w:color="auto"/>
            </w:tcBorders>
            <w:shd w:val="clear" w:color="auto" w:fill="9BC2E6"/>
            <w:noWrap/>
            <w:vAlign w:val="bottom"/>
            <w:hideMark/>
          </w:tcPr>
          <w:p w14:paraId="7EC81592"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1.03</w:t>
            </w:r>
          </w:p>
        </w:tc>
        <w:tc>
          <w:tcPr>
            <w:tcW w:w="1054" w:type="dxa"/>
            <w:tcBorders>
              <w:top w:val="nil"/>
              <w:left w:val="nil"/>
              <w:bottom w:val="single" w:sz="4" w:space="0" w:color="auto"/>
              <w:right w:val="single" w:sz="4" w:space="0" w:color="auto"/>
            </w:tcBorders>
            <w:shd w:val="clear" w:color="auto" w:fill="9BC2E6"/>
            <w:noWrap/>
            <w:vAlign w:val="bottom"/>
            <w:hideMark/>
          </w:tcPr>
          <w:p w14:paraId="5CF07C65"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1.94%</w:t>
            </w:r>
          </w:p>
        </w:tc>
      </w:tr>
      <w:tr w:rsidR="009A70A4" w:rsidRPr="009A70A4" w14:paraId="20BDA5DF"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7A331F4"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achmil</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3AC030E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Common Yarrow</w:t>
            </w:r>
          </w:p>
        </w:tc>
        <w:tc>
          <w:tcPr>
            <w:tcW w:w="2520" w:type="dxa"/>
            <w:tcBorders>
              <w:top w:val="nil"/>
              <w:left w:val="nil"/>
              <w:bottom w:val="single" w:sz="4" w:space="0" w:color="auto"/>
              <w:right w:val="single" w:sz="4" w:space="0" w:color="auto"/>
            </w:tcBorders>
            <w:shd w:val="clear" w:color="auto" w:fill="A9D08E"/>
            <w:noWrap/>
            <w:vAlign w:val="bottom"/>
            <w:hideMark/>
          </w:tcPr>
          <w:p w14:paraId="7A2046BC"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Achillea millefolium</w:t>
            </w:r>
          </w:p>
        </w:tc>
        <w:tc>
          <w:tcPr>
            <w:tcW w:w="900" w:type="dxa"/>
            <w:tcBorders>
              <w:top w:val="nil"/>
              <w:left w:val="nil"/>
              <w:bottom w:val="single" w:sz="4" w:space="0" w:color="auto"/>
              <w:right w:val="single" w:sz="4" w:space="0" w:color="auto"/>
            </w:tcBorders>
            <w:shd w:val="clear" w:color="auto" w:fill="auto"/>
            <w:noWrap/>
            <w:vAlign w:val="bottom"/>
            <w:hideMark/>
          </w:tcPr>
          <w:p w14:paraId="4346851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036BD73D"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5B2CEE8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0.65</w:t>
            </w:r>
          </w:p>
        </w:tc>
        <w:tc>
          <w:tcPr>
            <w:tcW w:w="1054" w:type="dxa"/>
            <w:tcBorders>
              <w:top w:val="nil"/>
              <w:left w:val="nil"/>
              <w:bottom w:val="single" w:sz="4" w:space="0" w:color="auto"/>
              <w:right w:val="single" w:sz="4" w:space="0" w:color="auto"/>
            </w:tcBorders>
            <w:shd w:val="clear" w:color="auto" w:fill="auto"/>
            <w:noWrap/>
            <w:vAlign w:val="bottom"/>
            <w:hideMark/>
          </w:tcPr>
          <w:p w14:paraId="65C70FF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1.24%</w:t>
            </w:r>
          </w:p>
        </w:tc>
      </w:tr>
      <w:tr w:rsidR="009A70A4" w:rsidRPr="009A70A4" w14:paraId="1623695B"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69115A2"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agafoe</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26F7B57B"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Anise Hyssop</w:t>
            </w:r>
          </w:p>
        </w:tc>
        <w:tc>
          <w:tcPr>
            <w:tcW w:w="2520" w:type="dxa"/>
            <w:tcBorders>
              <w:top w:val="nil"/>
              <w:left w:val="nil"/>
              <w:bottom w:val="single" w:sz="4" w:space="0" w:color="auto"/>
              <w:right w:val="single" w:sz="4" w:space="0" w:color="auto"/>
            </w:tcBorders>
            <w:shd w:val="clear" w:color="auto" w:fill="A9D08E"/>
            <w:noWrap/>
            <w:vAlign w:val="bottom"/>
            <w:hideMark/>
          </w:tcPr>
          <w:p w14:paraId="07F9EA0E"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Agastache </w:t>
            </w:r>
            <w:proofErr w:type="spellStart"/>
            <w:r w:rsidRPr="009A70A4">
              <w:rPr>
                <w:rFonts w:ascii="Arial" w:eastAsia="Times New Roman" w:hAnsi="Arial" w:cs="Arial"/>
                <w:color w:val="000000"/>
                <w:sz w:val="20"/>
                <w:szCs w:val="20"/>
              </w:rPr>
              <w:t>foeniculum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994E1A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7FA23B0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0DBE860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0.66</w:t>
            </w:r>
          </w:p>
        </w:tc>
        <w:tc>
          <w:tcPr>
            <w:tcW w:w="1054" w:type="dxa"/>
            <w:tcBorders>
              <w:top w:val="nil"/>
              <w:left w:val="nil"/>
              <w:bottom w:val="single" w:sz="4" w:space="0" w:color="auto"/>
              <w:right w:val="single" w:sz="4" w:space="0" w:color="auto"/>
            </w:tcBorders>
            <w:shd w:val="clear" w:color="auto" w:fill="auto"/>
            <w:noWrap/>
            <w:vAlign w:val="bottom"/>
            <w:hideMark/>
          </w:tcPr>
          <w:p w14:paraId="6129A81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1.25%</w:t>
            </w:r>
          </w:p>
        </w:tc>
      </w:tr>
      <w:tr w:rsidR="009A70A4" w:rsidRPr="009A70A4" w14:paraId="30F2EE72"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78D9575"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allste</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3DAB9BB2"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Prairie Onion</w:t>
            </w:r>
          </w:p>
        </w:tc>
        <w:tc>
          <w:tcPr>
            <w:tcW w:w="2520" w:type="dxa"/>
            <w:tcBorders>
              <w:top w:val="nil"/>
              <w:left w:val="nil"/>
              <w:bottom w:val="single" w:sz="4" w:space="0" w:color="auto"/>
              <w:right w:val="single" w:sz="4" w:space="0" w:color="auto"/>
            </w:tcBorders>
            <w:shd w:val="clear" w:color="auto" w:fill="A9D08E"/>
            <w:noWrap/>
            <w:vAlign w:val="bottom"/>
            <w:hideMark/>
          </w:tcPr>
          <w:p w14:paraId="7B80CE9B"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Allium </w:t>
            </w:r>
            <w:proofErr w:type="spellStart"/>
            <w:r w:rsidRPr="009A70A4">
              <w:rPr>
                <w:rFonts w:ascii="Arial" w:eastAsia="Times New Roman" w:hAnsi="Arial" w:cs="Arial"/>
                <w:color w:val="000000"/>
                <w:sz w:val="20"/>
                <w:szCs w:val="20"/>
              </w:rPr>
              <w:t>stellatum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783137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1A8D5E5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0.26%</w:t>
            </w:r>
          </w:p>
        </w:tc>
        <w:tc>
          <w:tcPr>
            <w:tcW w:w="1106" w:type="dxa"/>
            <w:tcBorders>
              <w:top w:val="nil"/>
              <w:left w:val="nil"/>
              <w:bottom w:val="single" w:sz="4" w:space="0" w:color="auto"/>
              <w:right w:val="single" w:sz="4" w:space="0" w:color="auto"/>
            </w:tcBorders>
            <w:shd w:val="clear" w:color="auto" w:fill="auto"/>
            <w:noWrap/>
            <w:vAlign w:val="bottom"/>
            <w:hideMark/>
          </w:tcPr>
          <w:p w14:paraId="3C6A1C3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0.24</w:t>
            </w:r>
          </w:p>
        </w:tc>
        <w:tc>
          <w:tcPr>
            <w:tcW w:w="1054" w:type="dxa"/>
            <w:tcBorders>
              <w:top w:val="nil"/>
              <w:left w:val="nil"/>
              <w:bottom w:val="single" w:sz="4" w:space="0" w:color="auto"/>
              <w:right w:val="single" w:sz="4" w:space="0" w:color="auto"/>
            </w:tcBorders>
            <w:shd w:val="clear" w:color="auto" w:fill="auto"/>
            <w:noWrap/>
            <w:vAlign w:val="bottom"/>
            <w:hideMark/>
          </w:tcPr>
          <w:p w14:paraId="4DC8F1D9"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0.46%</w:t>
            </w:r>
          </w:p>
        </w:tc>
      </w:tr>
      <w:tr w:rsidR="009A70A4" w:rsidRPr="009A70A4" w14:paraId="06AFD7EF"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2B2525E"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amocan</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3E0EE0E0"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Lead Plant</w:t>
            </w:r>
          </w:p>
        </w:tc>
        <w:tc>
          <w:tcPr>
            <w:tcW w:w="2520" w:type="dxa"/>
            <w:tcBorders>
              <w:top w:val="nil"/>
              <w:left w:val="nil"/>
              <w:bottom w:val="single" w:sz="4" w:space="0" w:color="auto"/>
              <w:right w:val="single" w:sz="4" w:space="0" w:color="auto"/>
            </w:tcBorders>
            <w:shd w:val="clear" w:color="auto" w:fill="A9D08E"/>
            <w:noWrap/>
            <w:vAlign w:val="bottom"/>
            <w:hideMark/>
          </w:tcPr>
          <w:p w14:paraId="5BD5CD9C"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Amorpha </w:t>
            </w:r>
            <w:proofErr w:type="spellStart"/>
            <w:r w:rsidRPr="009A70A4">
              <w:rPr>
                <w:rFonts w:ascii="Arial" w:eastAsia="Times New Roman" w:hAnsi="Arial" w:cs="Arial"/>
                <w:color w:val="000000"/>
                <w:sz w:val="20"/>
                <w:szCs w:val="20"/>
              </w:rPr>
              <w:t>canescens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43DCA8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0.11</w:t>
            </w:r>
          </w:p>
        </w:tc>
        <w:tc>
          <w:tcPr>
            <w:tcW w:w="1170" w:type="dxa"/>
            <w:tcBorders>
              <w:top w:val="nil"/>
              <w:left w:val="nil"/>
              <w:bottom w:val="single" w:sz="4" w:space="0" w:color="auto"/>
              <w:right w:val="single" w:sz="4" w:space="0" w:color="auto"/>
            </w:tcBorders>
            <w:shd w:val="clear" w:color="auto" w:fill="auto"/>
            <w:noWrap/>
            <w:vAlign w:val="bottom"/>
            <w:hideMark/>
          </w:tcPr>
          <w:p w14:paraId="418EF28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0.48%</w:t>
            </w:r>
          </w:p>
        </w:tc>
        <w:tc>
          <w:tcPr>
            <w:tcW w:w="1106" w:type="dxa"/>
            <w:tcBorders>
              <w:top w:val="nil"/>
              <w:left w:val="nil"/>
              <w:bottom w:val="single" w:sz="4" w:space="0" w:color="auto"/>
              <w:right w:val="single" w:sz="4" w:space="0" w:color="auto"/>
            </w:tcBorders>
            <w:shd w:val="clear" w:color="auto" w:fill="auto"/>
            <w:noWrap/>
            <w:vAlign w:val="bottom"/>
            <w:hideMark/>
          </w:tcPr>
          <w:p w14:paraId="23FC322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0.49</w:t>
            </w:r>
          </w:p>
        </w:tc>
        <w:tc>
          <w:tcPr>
            <w:tcW w:w="1054" w:type="dxa"/>
            <w:tcBorders>
              <w:top w:val="nil"/>
              <w:left w:val="nil"/>
              <w:bottom w:val="single" w:sz="4" w:space="0" w:color="auto"/>
              <w:right w:val="single" w:sz="4" w:space="0" w:color="auto"/>
            </w:tcBorders>
            <w:shd w:val="clear" w:color="auto" w:fill="auto"/>
            <w:noWrap/>
            <w:vAlign w:val="bottom"/>
            <w:hideMark/>
          </w:tcPr>
          <w:p w14:paraId="1D1D4369"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0.93%</w:t>
            </w:r>
          </w:p>
        </w:tc>
      </w:tr>
      <w:tr w:rsidR="009A70A4" w:rsidRPr="009A70A4" w14:paraId="42DFD220"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2FB9590"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aqucan</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28A56F75"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Wild Columbine</w:t>
            </w:r>
          </w:p>
        </w:tc>
        <w:tc>
          <w:tcPr>
            <w:tcW w:w="2520" w:type="dxa"/>
            <w:tcBorders>
              <w:top w:val="nil"/>
              <w:left w:val="nil"/>
              <w:bottom w:val="single" w:sz="4" w:space="0" w:color="auto"/>
              <w:right w:val="single" w:sz="4" w:space="0" w:color="auto"/>
            </w:tcBorders>
            <w:shd w:val="clear" w:color="auto" w:fill="A9D08E"/>
            <w:noWrap/>
            <w:vAlign w:val="bottom"/>
            <w:hideMark/>
          </w:tcPr>
          <w:p w14:paraId="6DB1B38B"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Aquilegia canadensis</w:t>
            </w:r>
          </w:p>
        </w:tc>
        <w:tc>
          <w:tcPr>
            <w:tcW w:w="900" w:type="dxa"/>
            <w:tcBorders>
              <w:top w:val="nil"/>
              <w:left w:val="nil"/>
              <w:bottom w:val="single" w:sz="4" w:space="0" w:color="auto"/>
              <w:right w:val="single" w:sz="4" w:space="0" w:color="auto"/>
            </w:tcBorders>
            <w:shd w:val="clear" w:color="auto" w:fill="auto"/>
            <w:noWrap/>
            <w:vAlign w:val="bottom"/>
            <w:hideMark/>
          </w:tcPr>
          <w:p w14:paraId="5541C5B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574BF9B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18B8C13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0.28</w:t>
            </w:r>
          </w:p>
        </w:tc>
        <w:tc>
          <w:tcPr>
            <w:tcW w:w="1054" w:type="dxa"/>
            <w:tcBorders>
              <w:top w:val="nil"/>
              <w:left w:val="nil"/>
              <w:bottom w:val="single" w:sz="4" w:space="0" w:color="auto"/>
              <w:right w:val="single" w:sz="4" w:space="0" w:color="auto"/>
            </w:tcBorders>
            <w:shd w:val="clear" w:color="auto" w:fill="auto"/>
            <w:noWrap/>
            <w:vAlign w:val="bottom"/>
            <w:hideMark/>
          </w:tcPr>
          <w:p w14:paraId="02D86679"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0.53%</w:t>
            </w:r>
          </w:p>
        </w:tc>
      </w:tr>
      <w:tr w:rsidR="009A70A4" w:rsidRPr="009A70A4" w14:paraId="0564895B"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F8CE8E0"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ascsyr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7BCE9C48"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Common Milkweed</w:t>
            </w:r>
          </w:p>
        </w:tc>
        <w:tc>
          <w:tcPr>
            <w:tcW w:w="2520" w:type="dxa"/>
            <w:tcBorders>
              <w:top w:val="nil"/>
              <w:left w:val="nil"/>
              <w:bottom w:val="single" w:sz="4" w:space="0" w:color="auto"/>
              <w:right w:val="single" w:sz="4" w:space="0" w:color="auto"/>
            </w:tcBorders>
            <w:shd w:val="clear" w:color="auto" w:fill="A9D08E"/>
            <w:noWrap/>
            <w:vAlign w:val="bottom"/>
            <w:hideMark/>
          </w:tcPr>
          <w:p w14:paraId="404E7E3A"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Asclepias </w:t>
            </w:r>
            <w:proofErr w:type="spellStart"/>
            <w:r w:rsidRPr="009A70A4">
              <w:rPr>
                <w:rFonts w:ascii="Arial" w:eastAsia="Times New Roman" w:hAnsi="Arial" w:cs="Arial"/>
                <w:color w:val="000000"/>
                <w:sz w:val="20"/>
                <w:szCs w:val="20"/>
              </w:rPr>
              <w:t>syriaca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E4D4B8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1656D5A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0.43%</w:t>
            </w:r>
          </w:p>
        </w:tc>
        <w:tc>
          <w:tcPr>
            <w:tcW w:w="1106" w:type="dxa"/>
            <w:tcBorders>
              <w:top w:val="nil"/>
              <w:left w:val="nil"/>
              <w:bottom w:val="single" w:sz="4" w:space="0" w:color="auto"/>
              <w:right w:val="single" w:sz="4" w:space="0" w:color="auto"/>
            </w:tcBorders>
            <w:shd w:val="clear" w:color="auto" w:fill="auto"/>
            <w:noWrap/>
            <w:vAlign w:val="bottom"/>
            <w:hideMark/>
          </w:tcPr>
          <w:p w14:paraId="1C4E50B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0.15</w:t>
            </w:r>
          </w:p>
        </w:tc>
        <w:tc>
          <w:tcPr>
            <w:tcW w:w="1054" w:type="dxa"/>
            <w:tcBorders>
              <w:top w:val="nil"/>
              <w:left w:val="nil"/>
              <w:bottom w:val="single" w:sz="4" w:space="0" w:color="auto"/>
              <w:right w:val="single" w:sz="4" w:space="0" w:color="auto"/>
            </w:tcBorders>
            <w:shd w:val="clear" w:color="auto" w:fill="auto"/>
            <w:noWrap/>
            <w:vAlign w:val="bottom"/>
            <w:hideMark/>
          </w:tcPr>
          <w:p w14:paraId="037A498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0.28%</w:t>
            </w:r>
          </w:p>
        </w:tc>
      </w:tr>
      <w:tr w:rsidR="009A70A4" w:rsidRPr="009A70A4" w14:paraId="29426053"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CF62772"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asctub</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0A5433E2"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Butterfly Milkweed</w:t>
            </w:r>
          </w:p>
        </w:tc>
        <w:tc>
          <w:tcPr>
            <w:tcW w:w="2520" w:type="dxa"/>
            <w:tcBorders>
              <w:top w:val="nil"/>
              <w:left w:val="nil"/>
              <w:bottom w:val="single" w:sz="4" w:space="0" w:color="auto"/>
              <w:right w:val="single" w:sz="4" w:space="0" w:color="auto"/>
            </w:tcBorders>
            <w:shd w:val="clear" w:color="auto" w:fill="A9D08E"/>
            <w:noWrap/>
            <w:vAlign w:val="bottom"/>
            <w:hideMark/>
          </w:tcPr>
          <w:p w14:paraId="5B571521"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Asclepias tuberosa</w:t>
            </w:r>
          </w:p>
        </w:tc>
        <w:tc>
          <w:tcPr>
            <w:tcW w:w="900" w:type="dxa"/>
            <w:tcBorders>
              <w:top w:val="nil"/>
              <w:left w:val="nil"/>
              <w:bottom w:val="single" w:sz="4" w:space="0" w:color="auto"/>
              <w:right w:val="single" w:sz="4" w:space="0" w:color="auto"/>
            </w:tcBorders>
            <w:shd w:val="clear" w:color="auto" w:fill="auto"/>
            <w:noWrap/>
            <w:vAlign w:val="bottom"/>
            <w:hideMark/>
          </w:tcPr>
          <w:p w14:paraId="36D27D6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4421161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0.26%</w:t>
            </w:r>
          </w:p>
        </w:tc>
        <w:tc>
          <w:tcPr>
            <w:tcW w:w="1106" w:type="dxa"/>
            <w:tcBorders>
              <w:top w:val="nil"/>
              <w:left w:val="nil"/>
              <w:bottom w:val="single" w:sz="4" w:space="0" w:color="auto"/>
              <w:right w:val="single" w:sz="4" w:space="0" w:color="auto"/>
            </w:tcBorders>
            <w:shd w:val="clear" w:color="auto" w:fill="auto"/>
            <w:noWrap/>
            <w:vAlign w:val="bottom"/>
            <w:hideMark/>
          </w:tcPr>
          <w:p w14:paraId="4459ED2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0.09</w:t>
            </w:r>
          </w:p>
        </w:tc>
        <w:tc>
          <w:tcPr>
            <w:tcW w:w="1054" w:type="dxa"/>
            <w:tcBorders>
              <w:top w:val="nil"/>
              <w:left w:val="nil"/>
              <w:bottom w:val="single" w:sz="4" w:space="0" w:color="auto"/>
              <w:right w:val="single" w:sz="4" w:space="0" w:color="auto"/>
            </w:tcBorders>
            <w:shd w:val="clear" w:color="auto" w:fill="auto"/>
            <w:noWrap/>
            <w:vAlign w:val="bottom"/>
            <w:hideMark/>
          </w:tcPr>
          <w:p w14:paraId="48EC388D"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0.18%</w:t>
            </w:r>
          </w:p>
        </w:tc>
      </w:tr>
      <w:tr w:rsidR="009A70A4" w:rsidRPr="009A70A4" w14:paraId="054CF3D1"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2762797"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ascver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39D9CB16"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Whorled Milkweed</w:t>
            </w:r>
          </w:p>
        </w:tc>
        <w:tc>
          <w:tcPr>
            <w:tcW w:w="2520" w:type="dxa"/>
            <w:tcBorders>
              <w:top w:val="nil"/>
              <w:left w:val="nil"/>
              <w:bottom w:val="single" w:sz="4" w:space="0" w:color="auto"/>
              <w:right w:val="single" w:sz="4" w:space="0" w:color="auto"/>
            </w:tcBorders>
            <w:shd w:val="clear" w:color="auto" w:fill="A9D08E"/>
            <w:noWrap/>
            <w:vAlign w:val="bottom"/>
            <w:hideMark/>
          </w:tcPr>
          <w:p w14:paraId="7350CEF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Asclepias </w:t>
            </w:r>
            <w:proofErr w:type="spellStart"/>
            <w:r w:rsidRPr="009A70A4">
              <w:rPr>
                <w:rFonts w:ascii="Arial" w:eastAsia="Times New Roman" w:hAnsi="Arial" w:cs="Arial"/>
                <w:color w:val="000000"/>
                <w:sz w:val="20"/>
                <w:szCs w:val="20"/>
              </w:rPr>
              <w:t>verticillata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E2036C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34E3B13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1E11605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0.12</w:t>
            </w:r>
          </w:p>
        </w:tc>
        <w:tc>
          <w:tcPr>
            <w:tcW w:w="1054" w:type="dxa"/>
            <w:tcBorders>
              <w:top w:val="nil"/>
              <w:left w:val="nil"/>
              <w:bottom w:val="single" w:sz="4" w:space="0" w:color="auto"/>
              <w:right w:val="single" w:sz="4" w:space="0" w:color="auto"/>
            </w:tcBorders>
            <w:shd w:val="clear" w:color="auto" w:fill="auto"/>
            <w:noWrap/>
            <w:vAlign w:val="bottom"/>
            <w:hideMark/>
          </w:tcPr>
          <w:p w14:paraId="1BAADF8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0.23%</w:t>
            </w:r>
          </w:p>
        </w:tc>
      </w:tr>
      <w:tr w:rsidR="009A70A4" w:rsidRPr="009A70A4" w14:paraId="6434B0F6"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43242E2"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astcan</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473CCD84"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Canada Milkvetch</w:t>
            </w:r>
          </w:p>
        </w:tc>
        <w:tc>
          <w:tcPr>
            <w:tcW w:w="2520" w:type="dxa"/>
            <w:tcBorders>
              <w:top w:val="nil"/>
              <w:left w:val="nil"/>
              <w:bottom w:val="single" w:sz="4" w:space="0" w:color="auto"/>
              <w:right w:val="single" w:sz="4" w:space="0" w:color="auto"/>
            </w:tcBorders>
            <w:shd w:val="clear" w:color="auto" w:fill="A9D08E"/>
            <w:noWrap/>
            <w:vAlign w:val="bottom"/>
            <w:hideMark/>
          </w:tcPr>
          <w:p w14:paraId="02A50CB6"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Astragalus canadensis</w:t>
            </w:r>
          </w:p>
        </w:tc>
        <w:tc>
          <w:tcPr>
            <w:tcW w:w="900" w:type="dxa"/>
            <w:tcBorders>
              <w:top w:val="nil"/>
              <w:left w:val="nil"/>
              <w:bottom w:val="single" w:sz="4" w:space="0" w:color="auto"/>
              <w:right w:val="single" w:sz="4" w:space="0" w:color="auto"/>
            </w:tcBorders>
            <w:shd w:val="clear" w:color="auto" w:fill="auto"/>
            <w:noWrap/>
            <w:vAlign w:val="bottom"/>
            <w:hideMark/>
          </w:tcPr>
          <w:p w14:paraId="10E547B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0.12</w:t>
            </w:r>
          </w:p>
        </w:tc>
        <w:tc>
          <w:tcPr>
            <w:tcW w:w="1170" w:type="dxa"/>
            <w:tcBorders>
              <w:top w:val="nil"/>
              <w:left w:val="nil"/>
              <w:bottom w:val="single" w:sz="4" w:space="0" w:color="auto"/>
              <w:right w:val="single" w:sz="4" w:space="0" w:color="auto"/>
            </w:tcBorders>
            <w:shd w:val="clear" w:color="auto" w:fill="auto"/>
            <w:noWrap/>
            <w:vAlign w:val="bottom"/>
            <w:hideMark/>
          </w:tcPr>
          <w:p w14:paraId="46FDB1D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0.52%</w:t>
            </w:r>
          </w:p>
        </w:tc>
        <w:tc>
          <w:tcPr>
            <w:tcW w:w="1106" w:type="dxa"/>
            <w:tcBorders>
              <w:top w:val="nil"/>
              <w:left w:val="nil"/>
              <w:bottom w:val="single" w:sz="4" w:space="0" w:color="auto"/>
              <w:right w:val="single" w:sz="4" w:space="0" w:color="auto"/>
            </w:tcBorders>
            <w:shd w:val="clear" w:color="auto" w:fill="auto"/>
            <w:noWrap/>
            <w:vAlign w:val="bottom"/>
            <w:hideMark/>
          </w:tcPr>
          <w:p w14:paraId="0D9B8A7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0.75</w:t>
            </w:r>
          </w:p>
        </w:tc>
        <w:tc>
          <w:tcPr>
            <w:tcW w:w="1054" w:type="dxa"/>
            <w:tcBorders>
              <w:top w:val="nil"/>
              <w:left w:val="nil"/>
              <w:bottom w:val="single" w:sz="4" w:space="0" w:color="auto"/>
              <w:right w:val="single" w:sz="4" w:space="0" w:color="auto"/>
            </w:tcBorders>
            <w:shd w:val="clear" w:color="auto" w:fill="auto"/>
            <w:noWrap/>
            <w:vAlign w:val="bottom"/>
            <w:hideMark/>
          </w:tcPr>
          <w:p w14:paraId="231B2A5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1.42%</w:t>
            </w:r>
          </w:p>
        </w:tc>
      </w:tr>
      <w:tr w:rsidR="009A70A4" w:rsidRPr="009A70A4" w14:paraId="78BFECAC"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475A748"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astcra</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409F4DCC"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Ground Plum</w:t>
            </w:r>
          </w:p>
        </w:tc>
        <w:tc>
          <w:tcPr>
            <w:tcW w:w="2520" w:type="dxa"/>
            <w:tcBorders>
              <w:top w:val="nil"/>
              <w:left w:val="nil"/>
              <w:bottom w:val="single" w:sz="4" w:space="0" w:color="auto"/>
              <w:right w:val="single" w:sz="4" w:space="0" w:color="auto"/>
            </w:tcBorders>
            <w:shd w:val="clear" w:color="auto" w:fill="A9D08E"/>
            <w:noWrap/>
            <w:vAlign w:val="bottom"/>
            <w:hideMark/>
          </w:tcPr>
          <w:p w14:paraId="3A786061"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Astragalus </w:t>
            </w:r>
            <w:proofErr w:type="spellStart"/>
            <w:r w:rsidRPr="009A70A4">
              <w:rPr>
                <w:rFonts w:ascii="Arial" w:eastAsia="Times New Roman" w:hAnsi="Arial" w:cs="Arial"/>
                <w:color w:val="000000"/>
                <w:sz w:val="20"/>
                <w:szCs w:val="20"/>
              </w:rPr>
              <w:t>crassicarpus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71637D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6A68FB56"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587EEFF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0.04</w:t>
            </w:r>
          </w:p>
        </w:tc>
        <w:tc>
          <w:tcPr>
            <w:tcW w:w="1054" w:type="dxa"/>
            <w:tcBorders>
              <w:top w:val="nil"/>
              <w:left w:val="nil"/>
              <w:bottom w:val="single" w:sz="4" w:space="0" w:color="auto"/>
              <w:right w:val="single" w:sz="4" w:space="0" w:color="auto"/>
            </w:tcBorders>
            <w:shd w:val="clear" w:color="auto" w:fill="auto"/>
            <w:noWrap/>
            <w:vAlign w:val="bottom"/>
            <w:hideMark/>
          </w:tcPr>
          <w:p w14:paraId="18C92C9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0.07%</w:t>
            </w:r>
          </w:p>
        </w:tc>
      </w:tr>
      <w:tr w:rsidR="009A70A4" w:rsidRPr="009A70A4" w14:paraId="45E5D0AF"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5E78A8D"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corpal</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4EBB3E08"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Prairie Coreopsis</w:t>
            </w:r>
          </w:p>
        </w:tc>
        <w:tc>
          <w:tcPr>
            <w:tcW w:w="2520" w:type="dxa"/>
            <w:tcBorders>
              <w:top w:val="nil"/>
              <w:left w:val="nil"/>
              <w:bottom w:val="single" w:sz="4" w:space="0" w:color="auto"/>
              <w:right w:val="single" w:sz="4" w:space="0" w:color="auto"/>
            </w:tcBorders>
            <w:shd w:val="clear" w:color="auto" w:fill="A9D08E"/>
            <w:noWrap/>
            <w:vAlign w:val="bottom"/>
            <w:hideMark/>
          </w:tcPr>
          <w:p w14:paraId="004787A9"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Coreopsis </w:t>
            </w:r>
            <w:proofErr w:type="spellStart"/>
            <w:r w:rsidRPr="009A70A4">
              <w:rPr>
                <w:rFonts w:ascii="Arial" w:eastAsia="Times New Roman" w:hAnsi="Arial" w:cs="Arial"/>
                <w:color w:val="000000"/>
                <w:sz w:val="20"/>
                <w:szCs w:val="20"/>
              </w:rPr>
              <w:t>palmata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32C0E3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5C29900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418701B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0.11</w:t>
            </w:r>
          </w:p>
        </w:tc>
        <w:tc>
          <w:tcPr>
            <w:tcW w:w="1054" w:type="dxa"/>
            <w:tcBorders>
              <w:top w:val="nil"/>
              <w:left w:val="nil"/>
              <w:bottom w:val="single" w:sz="4" w:space="0" w:color="auto"/>
              <w:right w:val="single" w:sz="4" w:space="0" w:color="auto"/>
            </w:tcBorders>
            <w:shd w:val="clear" w:color="auto" w:fill="auto"/>
            <w:noWrap/>
            <w:vAlign w:val="bottom"/>
            <w:hideMark/>
          </w:tcPr>
          <w:p w14:paraId="73595A3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0.21%</w:t>
            </w:r>
          </w:p>
        </w:tc>
      </w:tr>
      <w:tr w:rsidR="009A70A4" w:rsidRPr="009A70A4" w14:paraId="5741B47E"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C839D1F"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dalcan</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002F760C"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White Prairie Clover</w:t>
            </w:r>
          </w:p>
        </w:tc>
        <w:tc>
          <w:tcPr>
            <w:tcW w:w="2520" w:type="dxa"/>
            <w:tcBorders>
              <w:top w:val="nil"/>
              <w:left w:val="nil"/>
              <w:bottom w:val="single" w:sz="4" w:space="0" w:color="auto"/>
              <w:right w:val="single" w:sz="4" w:space="0" w:color="auto"/>
            </w:tcBorders>
            <w:shd w:val="clear" w:color="auto" w:fill="A9D08E"/>
            <w:noWrap/>
            <w:vAlign w:val="bottom"/>
            <w:hideMark/>
          </w:tcPr>
          <w:p w14:paraId="37D05E49"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Dalea candida</w:t>
            </w:r>
          </w:p>
        </w:tc>
        <w:tc>
          <w:tcPr>
            <w:tcW w:w="900" w:type="dxa"/>
            <w:tcBorders>
              <w:top w:val="nil"/>
              <w:left w:val="nil"/>
              <w:bottom w:val="single" w:sz="4" w:space="0" w:color="auto"/>
              <w:right w:val="single" w:sz="4" w:space="0" w:color="auto"/>
            </w:tcBorders>
            <w:shd w:val="clear" w:color="auto" w:fill="auto"/>
            <w:noWrap/>
            <w:vAlign w:val="bottom"/>
            <w:hideMark/>
          </w:tcPr>
          <w:p w14:paraId="4FBDEBA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4405C1A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1.08%</w:t>
            </w:r>
          </w:p>
        </w:tc>
        <w:tc>
          <w:tcPr>
            <w:tcW w:w="1106" w:type="dxa"/>
            <w:tcBorders>
              <w:top w:val="nil"/>
              <w:left w:val="nil"/>
              <w:bottom w:val="single" w:sz="4" w:space="0" w:color="auto"/>
              <w:right w:val="single" w:sz="4" w:space="0" w:color="auto"/>
            </w:tcBorders>
            <w:shd w:val="clear" w:color="auto" w:fill="auto"/>
            <w:noWrap/>
            <w:vAlign w:val="bottom"/>
            <w:hideMark/>
          </w:tcPr>
          <w:p w14:paraId="2BE2092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1.74</w:t>
            </w:r>
          </w:p>
        </w:tc>
        <w:tc>
          <w:tcPr>
            <w:tcW w:w="1054" w:type="dxa"/>
            <w:tcBorders>
              <w:top w:val="nil"/>
              <w:left w:val="nil"/>
              <w:bottom w:val="single" w:sz="4" w:space="0" w:color="auto"/>
              <w:right w:val="single" w:sz="4" w:space="0" w:color="auto"/>
            </w:tcBorders>
            <w:shd w:val="clear" w:color="auto" w:fill="auto"/>
            <w:noWrap/>
            <w:vAlign w:val="bottom"/>
            <w:hideMark/>
          </w:tcPr>
          <w:p w14:paraId="19867BA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3.30%</w:t>
            </w:r>
          </w:p>
        </w:tc>
      </w:tr>
      <w:tr w:rsidR="009A70A4" w:rsidRPr="009A70A4" w14:paraId="741E995E"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EB619EC"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dalpur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7B0D2588"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Purple Prairie Clover</w:t>
            </w:r>
          </w:p>
        </w:tc>
        <w:tc>
          <w:tcPr>
            <w:tcW w:w="2520" w:type="dxa"/>
            <w:tcBorders>
              <w:top w:val="nil"/>
              <w:left w:val="nil"/>
              <w:bottom w:val="single" w:sz="4" w:space="0" w:color="auto"/>
              <w:right w:val="single" w:sz="4" w:space="0" w:color="auto"/>
            </w:tcBorders>
            <w:shd w:val="clear" w:color="auto" w:fill="A9D08E"/>
            <w:noWrap/>
            <w:vAlign w:val="bottom"/>
            <w:hideMark/>
          </w:tcPr>
          <w:p w14:paraId="4265D874"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Dalea purpurea</w:t>
            </w:r>
          </w:p>
        </w:tc>
        <w:tc>
          <w:tcPr>
            <w:tcW w:w="900" w:type="dxa"/>
            <w:tcBorders>
              <w:top w:val="nil"/>
              <w:left w:val="nil"/>
              <w:bottom w:val="single" w:sz="4" w:space="0" w:color="auto"/>
              <w:right w:val="single" w:sz="4" w:space="0" w:color="auto"/>
            </w:tcBorders>
            <w:shd w:val="clear" w:color="auto" w:fill="auto"/>
            <w:noWrap/>
            <w:vAlign w:val="bottom"/>
            <w:hideMark/>
          </w:tcPr>
          <w:p w14:paraId="582DB25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0.45</w:t>
            </w:r>
          </w:p>
        </w:tc>
        <w:tc>
          <w:tcPr>
            <w:tcW w:w="1170" w:type="dxa"/>
            <w:tcBorders>
              <w:top w:val="nil"/>
              <w:left w:val="nil"/>
              <w:bottom w:val="single" w:sz="4" w:space="0" w:color="auto"/>
              <w:right w:val="single" w:sz="4" w:space="0" w:color="auto"/>
            </w:tcBorders>
            <w:shd w:val="clear" w:color="auto" w:fill="auto"/>
            <w:noWrap/>
            <w:vAlign w:val="bottom"/>
            <w:hideMark/>
          </w:tcPr>
          <w:p w14:paraId="6C1F38B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1.95%</w:t>
            </w:r>
          </w:p>
        </w:tc>
        <w:tc>
          <w:tcPr>
            <w:tcW w:w="1106" w:type="dxa"/>
            <w:tcBorders>
              <w:top w:val="nil"/>
              <w:left w:val="nil"/>
              <w:bottom w:val="single" w:sz="4" w:space="0" w:color="auto"/>
              <w:right w:val="single" w:sz="4" w:space="0" w:color="auto"/>
            </w:tcBorders>
            <w:shd w:val="clear" w:color="auto" w:fill="auto"/>
            <w:noWrap/>
            <w:vAlign w:val="bottom"/>
            <w:hideMark/>
          </w:tcPr>
          <w:p w14:paraId="04CF125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2.48</w:t>
            </w:r>
          </w:p>
        </w:tc>
        <w:tc>
          <w:tcPr>
            <w:tcW w:w="1054" w:type="dxa"/>
            <w:tcBorders>
              <w:top w:val="nil"/>
              <w:left w:val="nil"/>
              <w:bottom w:val="single" w:sz="4" w:space="0" w:color="auto"/>
              <w:right w:val="single" w:sz="4" w:space="0" w:color="auto"/>
            </w:tcBorders>
            <w:shd w:val="clear" w:color="auto" w:fill="auto"/>
            <w:noWrap/>
            <w:vAlign w:val="bottom"/>
            <w:hideMark/>
          </w:tcPr>
          <w:p w14:paraId="16FFF31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4.68%</w:t>
            </w:r>
          </w:p>
        </w:tc>
      </w:tr>
      <w:tr w:rsidR="009A70A4" w:rsidRPr="009A70A4" w14:paraId="1F5275D5"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4EE9253"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descan</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5F7058A3"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Showy Tick Trefoil</w:t>
            </w:r>
          </w:p>
        </w:tc>
        <w:tc>
          <w:tcPr>
            <w:tcW w:w="2520" w:type="dxa"/>
            <w:tcBorders>
              <w:top w:val="nil"/>
              <w:left w:val="nil"/>
              <w:bottom w:val="single" w:sz="4" w:space="0" w:color="auto"/>
              <w:right w:val="single" w:sz="4" w:space="0" w:color="auto"/>
            </w:tcBorders>
            <w:shd w:val="clear" w:color="auto" w:fill="A9D08E"/>
            <w:noWrap/>
            <w:vAlign w:val="bottom"/>
            <w:hideMark/>
          </w:tcPr>
          <w:p w14:paraId="740540ED"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Desmodium</w:t>
            </w:r>
            <w:proofErr w:type="spellEnd"/>
            <w:r w:rsidRPr="009A70A4">
              <w:rPr>
                <w:rFonts w:ascii="Arial" w:eastAsia="Times New Roman" w:hAnsi="Arial" w:cs="Arial"/>
                <w:color w:val="000000"/>
                <w:sz w:val="20"/>
                <w:szCs w:val="20"/>
              </w:rPr>
              <w:t xml:space="preserve"> canadense</w:t>
            </w:r>
          </w:p>
        </w:tc>
        <w:tc>
          <w:tcPr>
            <w:tcW w:w="900" w:type="dxa"/>
            <w:tcBorders>
              <w:top w:val="nil"/>
              <w:left w:val="nil"/>
              <w:bottom w:val="single" w:sz="4" w:space="0" w:color="auto"/>
              <w:right w:val="single" w:sz="4" w:space="0" w:color="auto"/>
            </w:tcBorders>
            <w:shd w:val="clear" w:color="auto" w:fill="auto"/>
            <w:noWrap/>
            <w:vAlign w:val="bottom"/>
            <w:hideMark/>
          </w:tcPr>
          <w:p w14:paraId="0898AA8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0.12</w:t>
            </w:r>
          </w:p>
        </w:tc>
        <w:tc>
          <w:tcPr>
            <w:tcW w:w="1170" w:type="dxa"/>
            <w:tcBorders>
              <w:top w:val="nil"/>
              <w:left w:val="nil"/>
              <w:bottom w:val="single" w:sz="4" w:space="0" w:color="auto"/>
              <w:right w:val="single" w:sz="4" w:space="0" w:color="auto"/>
            </w:tcBorders>
            <w:shd w:val="clear" w:color="auto" w:fill="auto"/>
            <w:noWrap/>
            <w:vAlign w:val="bottom"/>
            <w:hideMark/>
          </w:tcPr>
          <w:p w14:paraId="63D2BC3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0.52%</w:t>
            </w:r>
          </w:p>
        </w:tc>
        <w:tc>
          <w:tcPr>
            <w:tcW w:w="1106" w:type="dxa"/>
            <w:tcBorders>
              <w:top w:val="nil"/>
              <w:left w:val="nil"/>
              <w:bottom w:val="single" w:sz="4" w:space="0" w:color="auto"/>
              <w:right w:val="single" w:sz="4" w:space="0" w:color="auto"/>
            </w:tcBorders>
            <w:shd w:val="clear" w:color="auto" w:fill="auto"/>
            <w:noWrap/>
            <w:vAlign w:val="bottom"/>
            <w:hideMark/>
          </w:tcPr>
          <w:p w14:paraId="268B1BD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0.24</w:t>
            </w:r>
          </w:p>
        </w:tc>
        <w:tc>
          <w:tcPr>
            <w:tcW w:w="1054" w:type="dxa"/>
            <w:tcBorders>
              <w:top w:val="nil"/>
              <w:left w:val="nil"/>
              <w:bottom w:val="single" w:sz="4" w:space="0" w:color="auto"/>
              <w:right w:val="single" w:sz="4" w:space="0" w:color="auto"/>
            </w:tcBorders>
            <w:shd w:val="clear" w:color="auto" w:fill="auto"/>
            <w:noWrap/>
            <w:vAlign w:val="bottom"/>
            <w:hideMark/>
          </w:tcPr>
          <w:p w14:paraId="41B6DD3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0.46%</w:t>
            </w:r>
          </w:p>
        </w:tc>
      </w:tr>
      <w:tr w:rsidR="009A70A4" w:rsidRPr="009A70A4" w14:paraId="367E7325"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97F2BD8"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echang</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5EC1D189"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Narrow-leaved Coneflower</w:t>
            </w:r>
          </w:p>
        </w:tc>
        <w:tc>
          <w:tcPr>
            <w:tcW w:w="2520" w:type="dxa"/>
            <w:tcBorders>
              <w:top w:val="nil"/>
              <w:left w:val="nil"/>
              <w:bottom w:val="single" w:sz="4" w:space="0" w:color="auto"/>
              <w:right w:val="single" w:sz="4" w:space="0" w:color="auto"/>
            </w:tcBorders>
            <w:shd w:val="clear" w:color="auto" w:fill="A9D08E"/>
            <w:noWrap/>
            <w:vAlign w:val="bottom"/>
            <w:hideMark/>
          </w:tcPr>
          <w:p w14:paraId="4C906D54"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Echinacea angustifolia</w:t>
            </w:r>
          </w:p>
        </w:tc>
        <w:tc>
          <w:tcPr>
            <w:tcW w:w="900" w:type="dxa"/>
            <w:tcBorders>
              <w:top w:val="nil"/>
              <w:left w:val="nil"/>
              <w:bottom w:val="single" w:sz="4" w:space="0" w:color="auto"/>
              <w:right w:val="single" w:sz="4" w:space="0" w:color="auto"/>
            </w:tcBorders>
            <w:shd w:val="clear" w:color="auto" w:fill="auto"/>
            <w:noWrap/>
            <w:vAlign w:val="bottom"/>
            <w:hideMark/>
          </w:tcPr>
          <w:p w14:paraId="5BBF135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4C55088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0.26%</w:t>
            </w:r>
          </w:p>
        </w:tc>
        <w:tc>
          <w:tcPr>
            <w:tcW w:w="1106" w:type="dxa"/>
            <w:tcBorders>
              <w:top w:val="nil"/>
              <w:left w:val="nil"/>
              <w:bottom w:val="single" w:sz="4" w:space="0" w:color="auto"/>
              <w:right w:val="single" w:sz="4" w:space="0" w:color="auto"/>
            </w:tcBorders>
            <w:shd w:val="clear" w:color="auto" w:fill="auto"/>
            <w:noWrap/>
            <w:vAlign w:val="bottom"/>
            <w:hideMark/>
          </w:tcPr>
          <w:p w14:paraId="753517C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0.15</w:t>
            </w:r>
          </w:p>
        </w:tc>
        <w:tc>
          <w:tcPr>
            <w:tcW w:w="1054" w:type="dxa"/>
            <w:tcBorders>
              <w:top w:val="nil"/>
              <w:left w:val="nil"/>
              <w:bottom w:val="single" w:sz="4" w:space="0" w:color="auto"/>
              <w:right w:val="single" w:sz="4" w:space="0" w:color="auto"/>
            </w:tcBorders>
            <w:shd w:val="clear" w:color="auto" w:fill="auto"/>
            <w:noWrap/>
            <w:vAlign w:val="bottom"/>
            <w:hideMark/>
          </w:tcPr>
          <w:p w14:paraId="10DE2D59"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0.29%</w:t>
            </w:r>
          </w:p>
        </w:tc>
      </w:tr>
      <w:tr w:rsidR="009A70A4" w:rsidRPr="009A70A4" w14:paraId="00FB2069"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C1414AE"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galbor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196A2092"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Northern Bedstraw</w:t>
            </w:r>
          </w:p>
        </w:tc>
        <w:tc>
          <w:tcPr>
            <w:tcW w:w="2520" w:type="dxa"/>
            <w:tcBorders>
              <w:top w:val="nil"/>
              <w:left w:val="nil"/>
              <w:bottom w:val="single" w:sz="4" w:space="0" w:color="auto"/>
              <w:right w:val="single" w:sz="4" w:space="0" w:color="auto"/>
            </w:tcBorders>
            <w:shd w:val="clear" w:color="auto" w:fill="A9D08E"/>
            <w:noWrap/>
            <w:vAlign w:val="bottom"/>
            <w:hideMark/>
          </w:tcPr>
          <w:p w14:paraId="17702DD9"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Gallium </w:t>
            </w:r>
            <w:proofErr w:type="spellStart"/>
            <w:r w:rsidRPr="009A70A4">
              <w:rPr>
                <w:rFonts w:ascii="Arial" w:eastAsia="Times New Roman" w:hAnsi="Arial" w:cs="Arial"/>
                <w:color w:val="000000"/>
                <w:sz w:val="20"/>
                <w:szCs w:val="20"/>
              </w:rPr>
              <w:t>boreale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59BA92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7FB46C3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47A9802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0.26</w:t>
            </w:r>
          </w:p>
        </w:tc>
        <w:tc>
          <w:tcPr>
            <w:tcW w:w="1054" w:type="dxa"/>
            <w:tcBorders>
              <w:top w:val="nil"/>
              <w:left w:val="nil"/>
              <w:bottom w:val="single" w:sz="4" w:space="0" w:color="auto"/>
              <w:right w:val="single" w:sz="4" w:space="0" w:color="auto"/>
            </w:tcBorders>
            <w:shd w:val="clear" w:color="auto" w:fill="auto"/>
            <w:noWrap/>
            <w:vAlign w:val="bottom"/>
            <w:hideMark/>
          </w:tcPr>
          <w:p w14:paraId="4CA56AB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0.49%</w:t>
            </w:r>
          </w:p>
        </w:tc>
      </w:tr>
      <w:tr w:rsidR="009A70A4" w:rsidRPr="009A70A4" w14:paraId="0FD14BC0"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D170548"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helpau</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37326A48"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Stiff Sunflower</w:t>
            </w:r>
          </w:p>
        </w:tc>
        <w:tc>
          <w:tcPr>
            <w:tcW w:w="2520" w:type="dxa"/>
            <w:tcBorders>
              <w:top w:val="nil"/>
              <w:left w:val="nil"/>
              <w:bottom w:val="single" w:sz="4" w:space="0" w:color="auto"/>
              <w:right w:val="single" w:sz="4" w:space="0" w:color="auto"/>
            </w:tcBorders>
            <w:shd w:val="clear" w:color="auto" w:fill="A9D08E"/>
            <w:noWrap/>
            <w:vAlign w:val="bottom"/>
            <w:hideMark/>
          </w:tcPr>
          <w:p w14:paraId="24242A45"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Helianthus </w:t>
            </w:r>
            <w:proofErr w:type="spellStart"/>
            <w:r w:rsidRPr="009A70A4">
              <w:rPr>
                <w:rFonts w:ascii="Arial" w:eastAsia="Times New Roman" w:hAnsi="Arial" w:cs="Arial"/>
                <w:color w:val="000000"/>
                <w:sz w:val="20"/>
                <w:szCs w:val="20"/>
              </w:rPr>
              <w:t>pauciflorus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A7651F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483238D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49BC0D2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0.07</w:t>
            </w:r>
          </w:p>
        </w:tc>
        <w:tc>
          <w:tcPr>
            <w:tcW w:w="1054" w:type="dxa"/>
            <w:tcBorders>
              <w:top w:val="nil"/>
              <w:left w:val="nil"/>
              <w:bottom w:val="single" w:sz="4" w:space="0" w:color="auto"/>
              <w:right w:val="single" w:sz="4" w:space="0" w:color="auto"/>
            </w:tcBorders>
            <w:shd w:val="clear" w:color="auto" w:fill="auto"/>
            <w:noWrap/>
            <w:vAlign w:val="bottom"/>
            <w:hideMark/>
          </w:tcPr>
          <w:p w14:paraId="4E50E0E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0.14%</w:t>
            </w:r>
          </w:p>
        </w:tc>
      </w:tr>
      <w:tr w:rsidR="009A70A4" w:rsidRPr="009A70A4" w14:paraId="310402D8"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B53B6F3"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liaasp</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059E7CF2"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Rough Blazing Star</w:t>
            </w:r>
          </w:p>
        </w:tc>
        <w:tc>
          <w:tcPr>
            <w:tcW w:w="2520" w:type="dxa"/>
            <w:tcBorders>
              <w:top w:val="nil"/>
              <w:left w:val="nil"/>
              <w:bottom w:val="single" w:sz="4" w:space="0" w:color="auto"/>
              <w:right w:val="single" w:sz="4" w:space="0" w:color="auto"/>
            </w:tcBorders>
            <w:shd w:val="clear" w:color="auto" w:fill="A9D08E"/>
            <w:noWrap/>
            <w:vAlign w:val="bottom"/>
            <w:hideMark/>
          </w:tcPr>
          <w:p w14:paraId="2C2BFC59"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Liatris aspera</w:t>
            </w:r>
          </w:p>
        </w:tc>
        <w:tc>
          <w:tcPr>
            <w:tcW w:w="900" w:type="dxa"/>
            <w:tcBorders>
              <w:top w:val="nil"/>
              <w:left w:val="nil"/>
              <w:bottom w:val="single" w:sz="4" w:space="0" w:color="auto"/>
              <w:right w:val="single" w:sz="4" w:space="0" w:color="auto"/>
            </w:tcBorders>
            <w:shd w:val="clear" w:color="auto" w:fill="auto"/>
            <w:noWrap/>
            <w:vAlign w:val="bottom"/>
            <w:hideMark/>
          </w:tcPr>
          <w:p w14:paraId="2E7CB12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00A528A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5B15F97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0.12</w:t>
            </w:r>
          </w:p>
        </w:tc>
        <w:tc>
          <w:tcPr>
            <w:tcW w:w="1054" w:type="dxa"/>
            <w:tcBorders>
              <w:top w:val="nil"/>
              <w:left w:val="nil"/>
              <w:bottom w:val="single" w:sz="4" w:space="0" w:color="auto"/>
              <w:right w:val="single" w:sz="4" w:space="0" w:color="auto"/>
            </w:tcBorders>
            <w:shd w:val="clear" w:color="auto" w:fill="auto"/>
            <w:noWrap/>
            <w:vAlign w:val="bottom"/>
            <w:hideMark/>
          </w:tcPr>
          <w:p w14:paraId="75113AA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0.22%</w:t>
            </w:r>
          </w:p>
        </w:tc>
      </w:tr>
      <w:tr w:rsidR="009A70A4" w:rsidRPr="009A70A4" w14:paraId="20639B51"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1EDDAC9"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liapyc</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1CEEFAFB"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Prairie Blazing Star</w:t>
            </w:r>
          </w:p>
        </w:tc>
        <w:tc>
          <w:tcPr>
            <w:tcW w:w="2520" w:type="dxa"/>
            <w:tcBorders>
              <w:top w:val="nil"/>
              <w:left w:val="nil"/>
              <w:bottom w:val="single" w:sz="4" w:space="0" w:color="auto"/>
              <w:right w:val="single" w:sz="4" w:space="0" w:color="auto"/>
            </w:tcBorders>
            <w:shd w:val="clear" w:color="auto" w:fill="A9D08E"/>
            <w:noWrap/>
            <w:vAlign w:val="bottom"/>
            <w:hideMark/>
          </w:tcPr>
          <w:p w14:paraId="171F3E3D"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Liatris </w:t>
            </w:r>
            <w:proofErr w:type="spellStart"/>
            <w:r w:rsidRPr="009A70A4">
              <w:rPr>
                <w:rFonts w:ascii="Arial" w:eastAsia="Times New Roman" w:hAnsi="Arial" w:cs="Arial"/>
                <w:color w:val="000000"/>
                <w:sz w:val="20"/>
                <w:szCs w:val="20"/>
              </w:rPr>
              <w:t>pycnostachya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4A3667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2B9F38A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164C37F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0.20</w:t>
            </w:r>
          </w:p>
        </w:tc>
        <w:tc>
          <w:tcPr>
            <w:tcW w:w="1054" w:type="dxa"/>
            <w:tcBorders>
              <w:top w:val="nil"/>
              <w:left w:val="nil"/>
              <w:bottom w:val="single" w:sz="4" w:space="0" w:color="auto"/>
              <w:right w:val="single" w:sz="4" w:space="0" w:color="auto"/>
            </w:tcBorders>
            <w:shd w:val="clear" w:color="auto" w:fill="auto"/>
            <w:noWrap/>
            <w:vAlign w:val="bottom"/>
            <w:hideMark/>
          </w:tcPr>
          <w:p w14:paraId="050B5FB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0.38%</w:t>
            </w:r>
          </w:p>
        </w:tc>
      </w:tr>
      <w:tr w:rsidR="009A70A4" w:rsidRPr="009A70A4" w14:paraId="7B5C6920"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84A2FDE"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monfis</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411B2F64"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Wild Bergamot</w:t>
            </w:r>
          </w:p>
        </w:tc>
        <w:tc>
          <w:tcPr>
            <w:tcW w:w="2520" w:type="dxa"/>
            <w:tcBorders>
              <w:top w:val="nil"/>
              <w:left w:val="nil"/>
              <w:bottom w:val="single" w:sz="4" w:space="0" w:color="auto"/>
              <w:right w:val="single" w:sz="4" w:space="0" w:color="auto"/>
            </w:tcBorders>
            <w:shd w:val="clear" w:color="auto" w:fill="A9D08E"/>
            <w:noWrap/>
            <w:vAlign w:val="bottom"/>
            <w:hideMark/>
          </w:tcPr>
          <w:p w14:paraId="4AF5DDB4"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Monarda fistulosa</w:t>
            </w:r>
          </w:p>
        </w:tc>
        <w:tc>
          <w:tcPr>
            <w:tcW w:w="900" w:type="dxa"/>
            <w:tcBorders>
              <w:top w:val="nil"/>
              <w:left w:val="nil"/>
              <w:bottom w:val="single" w:sz="4" w:space="0" w:color="auto"/>
              <w:right w:val="single" w:sz="4" w:space="0" w:color="auto"/>
            </w:tcBorders>
            <w:shd w:val="clear" w:color="auto" w:fill="auto"/>
            <w:noWrap/>
            <w:vAlign w:val="bottom"/>
            <w:hideMark/>
          </w:tcPr>
          <w:p w14:paraId="55471C1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240D155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24F9726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0.51</w:t>
            </w:r>
          </w:p>
        </w:tc>
        <w:tc>
          <w:tcPr>
            <w:tcW w:w="1054" w:type="dxa"/>
            <w:tcBorders>
              <w:top w:val="nil"/>
              <w:left w:val="nil"/>
              <w:bottom w:val="single" w:sz="4" w:space="0" w:color="auto"/>
              <w:right w:val="single" w:sz="4" w:space="0" w:color="auto"/>
            </w:tcBorders>
            <w:shd w:val="clear" w:color="auto" w:fill="auto"/>
            <w:noWrap/>
            <w:vAlign w:val="bottom"/>
            <w:hideMark/>
          </w:tcPr>
          <w:p w14:paraId="10A7405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0.97%</w:t>
            </w:r>
          </w:p>
        </w:tc>
      </w:tr>
      <w:tr w:rsidR="009A70A4" w:rsidRPr="009A70A4" w14:paraId="7043BDD6"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339E5D1"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pengra</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7F3239B2"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Large-flowered Beardtongue</w:t>
            </w:r>
          </w:p>
        </w:tc>
        <w:tc>
          <w:tcPr>
            <w:tcW w:w="2520" w:type="dxa"/>
            <w:tcBorders>
              <w:top w:val="nil"/>
              <w:left w:val="nil"/>
              <w:bottom w:val="single" w:sz="4" w:space="0" w:color="auto"/>
              <w:right w:val="single" w:sz="4" w:space="0" w:color="auto"/>
            </w:tcBorders>
            <w:shd w:val="clear" w:color="auto" w:fill="A9D08E"/>
            <w:noWrap/>
            <w:vAlign w:val="bottom"/>
            <w:hideMark/>
          </w:tcPr>
          <w:p w14:paraId="44DC5966"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Penstemon </w:t>
            </w:r>
            <w:proofErr w:type="spellStart"/>
            <w:r w:rsidRPr="009A70A4">
              <w:rPr>
                <w:rFonts w:ascii="Arial" w:eastAsia="Times New Roman" w:hAnsi="Arial" w:cs="Arial"/>
                <w:color w:val="000000"/>
                <w:sz w:val="20"/>
                <w:szCs w:val="20"/>
              </w:rPr>
              <w:t>grandiflorus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45E821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48B14C46"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0.26%</w:t>
            </w:r>
          </w:p>
        </w:tc>
        <w:tc>
          <w:tcPr>
            <w:tcW w:w="1106" w:type="dxa"/>
            <w:tcBorders>
              <w:top w:val="nil"/>
              <w:left w:val="nil"/>
              <w:bottom w:val="single" w:sz="4" w:space="0" w:color="auto"/>
              <w:right w:val="single" w:sz="4" w:space="0" w:color="auto"/>
            </w:tcBorders>
            <w:shd w:val="clear" w:color="auto" w:fill="auto"/>
            <w:noWrap/>
            <w:vAlign w:val="bottom"/>
            <w:hideMark/>
          </w:tcPr>
          <w:p w14:paraId="54C801C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0.31</w:t>
            </w:r>
          </w:p>
        </w:tc>
        <w:tc>
          <w:tcPr>
            <w:tcW w:w="1054" w:type="dxa"/>
            <w:tcBorders>
              <w:top w:val="nil"/>
              <w:left w:val="nil"/>
              <w:bottom w:val="single" w:sz="4" w:space="0" w:color="auto"/>
              <w:right w:val="single" w:sz="4" w:space="0" w:color="auto"/>
            </w:tcBorders>
            <w:shd w:val="clear" w:color="auto" w:fill="auto"/>
            <w:noWrap/>
            <w:vAlign w:val="bottom"/>
            <w:hideMark/>
          </w:tcPr>
          <w:p w14:paraId="17FA16A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0.58%</w:t>
            </w:r>
          </w:p>
        </w:tc>
      </w:tr>
      <w:tr w:rsidR="009A70A4" w:rsidRPr="009A70A4" w14:paraId="2C9A67F4"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1D6AB48"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pycvir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5375E2C4"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Virginia Mountain Mint</w:t>
            </w:r>
          </w:p>
        </w:tc>
        <w:tc>
          <w:tcPr>
            <w:tcW w:w="2520" w:type="dxa"/>
            <w:tcBorders>
              <w:top w:val="nil"/>
              <w:left w:val="nil"/>
              <w:bottom w:val="single" w:sz="4" w:space="0" w:color="auto"/>
              <w:right w:val="single" w:sz="4" w:space="0" w:color="auto"/>
            </w:tcBorders>
            <w:shd w:val="clear" w:color="auto" w:fill="A9D08E"/>
            <w:noWrap/>
            <w:vAlign w:val="bottom"/>
            <w:hideMark/>
          </w:tcPr>
          <w:p w14:paraId="6C894B8C"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Pycnanthemum</w:t>
            </w:r>
            <w:proofErr w:type="spellEnd"/>
            <w:r w:rsidRPr="009A70A4">
              <w:rPr>
                <w:rFonts w:ascii="Arial" w:eastAsia="Times New Roman" w:hAnsi="Arial" w:cs="Arial"/>
                <w:color w:val="000000"/>
                <w:sz w:val="20"/>
                <w:szCs w:val="20"/>
              </w:rPr>
              <w:t xml:space="preserve"> virginianum</w:t>
            </w:r>
          </w:p>
        </w:tc>
        <w:tc>
          <w:tcPr>
            <w:tcW w:w="900" w:type="dxa"/>
            <w:tcBorders>
              <w:top w:val="nil"/>
              <w:left w:val="nil"/>
              <w:bottom w:val="single" w:sz="4" w:space="0" w:color="auto"/>
              <w:right w:val="single" w:sz="4" w:space="0" w:color="auto"/>
            </w:tcBorders>
            <w:shd w:val="clear" w:color="auto" w:fill="auto"/>
            <w:noWrap/>
            <w:vAlign w:val="bottom"/>
            <w:hideMark/>
          </w:tcPr>
          <w:p w14:paraId="6A242B99"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08A98299"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6A03DE4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0.81</w:t>
            </w:r>
          </w:p>
        </w:tc>
        <w:tc>
          <w:tcPr>
            <w:tcW w:w="1054" w:type="dxa"/>
            <w:tcBorders>
              <w:top w:val="nil"/>
              <w:left w:val="nil"/>
              <w:bottom w:val="single" w:sz="4" w:space="0" w:color="auto"/>
              <w:right w:val="single" w:sz="4" w:space="0" w:color="auto"/>
            </w:tcBorders>
            <w:shd w:val="clear" w:color="auto" w:fill="auto"/>
            <w:noWrap/>
            <w:vAlign w:val="bottom"/>
            <w:hideMark/>
          </w:tcPr>
          <w:p w14:paraId="31733A9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1.53%</w:t>
            </w:r>
          </w:p>
        </w:tc>
      </w:tr>
      <w:tr w:rsidR="009A70A4" w:rsidRPr="009A70A4" w14:paraId="60AF5454"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A92B39D"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ratcol</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29015BD0"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Long-headed Coneflower</w:t>
            </w:r>
          </w:p>
        </w:tc>
        <w:tc>
          <w:tcPr>
            <w:tcW w:w="2520" w:type="dxa"/>
            <w:tcBorders>
              <w:top w:val="nil"/>
              <w:left w:val="nil"/>
              <w:bottom w:val="single" w:sz="4" w:space="0" w:color="auto"/>
              <w:right w:val="single" w:sz="4" w:space="0" w:color="auto"/>
            </w:tcBorders>
            <w:shd w:val="clear" w:color="auto" w:fill="A9D08E"/>
            <w:noWrap/>
            <w:vAlign w:val="bottom"/>
            <w:hideMark/>
          </w:tcPr>
          <w:p w14:paraId="342C02DF"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Ratibida </w:t>
            </w:r>
            <w:proofErr w:type="spellStart"/>
            <w:r w:rsidRPr="009A70A4">
              <w:rPr>
                <w:rFonts w:ascii="Arial" w:eastAsia="Times New Roman" w:hAnsi="Arial" w:cs="Arial"/>
                <w:color w:val="000000"/>
                <w:sz w:val="20"/>
                <w:szCs w:val="20"/>
              </w:rPr>
              <w:t>columnifera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776E35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46FCD25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6C1DCA2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0.46</w:t>
            </w:r>
          </w:p>
        </w:tc>
        <w:tc>
          <w:tcPr>
            <w:tcW w:w="1054" w:type="dxa"/>
            <w:tcBorders>
              <w:top w:val="nil"/>
              <w:left w:val="nil"/>
              <w:bottom w:val="single" w:sz="4" w:space="0" w:color="auto"/>
              <w:right w:val="single" w:sz="4" w:space="0" w:color="auto"/>
            </w:tcBorders>
            <w:shd w:val="clear" w:color="auto" w:fill="auto"/>
            <w:noWrap/>
            <w:vAlign w:val="bottom"/>
            <w:hideMark/>
          </w:tcPr>
          <w:p w14:paraId="4DE18B7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0.87%</w:t>
            </w:r>
          </w:p>
        </w:tc>
      </w:tr>
      <w:tr w:rsidR="009A70A4" w:rsidRPr="009A70A4" w14:paraId="07705D42"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142F208"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rudhir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404BFCBD"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Black-eyed Susan</w:t>
            </w:r>
          </w:p>
        </w:tc>
        <w:tc>
          <w:tcPr>
            <w:tcW w:w="2520" w:type="dxa"/>
            <w:tcBorders>
              <w:top w:val="nil"/>
              <w:left w:val="nil"/>
              <w:bottom w:val="single" w:sz="4" w:space="0" w:color="auto"/>
              <w:right w:val="single" w:sz="4" w:space="0" w:color="auto"/>
            </w:tcBorders>
            <w:shd w:val="clear" w:color="auto" w:fill="A9D08E"/>
            <w:noWrap/>
            <w:vAlign w:val="bottom"/>
            <w:hideMark/>
          </w:tcPr>
          <w:p w14:paraId="3E2BC4B7"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Rudbeckia </w:t>
            </w:r>
            <w:proofErr w:type="spellStart"/>
            <w:r w:rsidRPr="009A70A4">
              <w:rPr>
                <w:rFonts w:ascii="Arial" w:eastAsia="Times New Roman" w:hAnsi="Arial" w:cs="Arial"/>
                <w:color w:val="000000"/>
                <w:sz w:val="20"/>
                <w:szCs w:val="20"/>
              </w:rPr>
              <w:t>hirta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026631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4BB4558D"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0.22%</w:t>
            </w:r>
          </w:p>
        </w:tc>
        <w:tc>
          <w:tcPr>
            <w:tcW w:w="1106" w:type="dxa"/>
            <w:tcBorders>
              <w:top w:val="nil"/>
              <w:left w:val="nil"/>
              <w:bottom w:val="single" w:sz="4" w:space="0" w:color="auto"/>
              <w:right w:val="single" w:sz="4" w:space="0" w:color="auto"/>
            </w:tcBorders>
            <w:shd w:val="clear" w:color="auto" w:fill="auto"/>
            <w:noWrap/>
            <w:vAlign w:val="bottom"/>
            <w:hideMark/>
          </w:tcPr>
          <w:p w14:paraId="6042E726"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1.69</w:t>
            </w:r>
          </w:p>
        </w:tc>
        <w:tc>
          <w:tcPr>
            <w:tcW w:w="1054" w:type="dxa"/>
            <w:tcBorders>
              <w:top w:val="nil"/>
              <w:left w:val="nil"/>
              <w:bottom w:val="single" w:sz="4" w:space="0" w:color="auto"/>
              <w:right w:val="single" w:sz="4" w:space="0" w:color="auto"/>
            </w:tcBorders>
            <w:shd w:val="clear" w:color="auto" w:fill="auto"/>
            <w:noWrap/>
            <w:vAlign w:val="bottom"/>
            <w:hideMark/>
          </w:tcPr>
          <w:p w14:paraId="01AA9059"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3.19%</w:t>
            </w:r>
          </w:p>
        </w:tc>
      </w:tr>
      <w:tr w:rsidR="009A70A4" w:rsidRPr="009A70A4" w14:paraId="78E90DCC"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CB665EC"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siscam</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7C71015D"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Prairie Blue-eyed Grass </w:t>
            </w:r>
          </w:p>
        </w:tc>
        <w:tc>
          <w:tcPr>
            <w:tcW w:w="2520" w:type="dxa"/>
            <w:tcBorders>
              <w:top w:val="nil"/>
              <w:left w:val="nil"/>
              <w:bottom w:val="single" w:sz="4" w:space="0" w:color="auto"/>
              <w:right w:val="single" w:sz="4" w:space="0" w:color="auto"/>
            </w:tcBorders>
            <w:shd w:val="clear" w:color="auto" w:fill="A9D08E"/>
            <w:noWrap/>
            <w:vAlign w:val="bottom"/>
            <w:hideMark/>
          </w:tcPr>
          <w:p w14:paraId="164E3A68"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Sisyrinchium </w:t>
            </w:r>
            <w:proofErr w:type="spellStart"/>
            <w:r w:rsidRPr="009A70A4">
              <w:rPr>
                <w:rFonts w:ascii="Arial" w:eastAsia="Times New Roman" w:hAnsi="Arial" w:cs="Arial"/>
                <w:color w:val="000000"/>
                <w:sz w:val="20"/>
                <w:szCs w:val="20"/>
              </w:rPr>
              <w:t>campestre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22377B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35B5138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7EBA1C2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0.17</w:t>
            </w:r>
          </w:p>
        </w:tc>
        <w:tc>
          <w:tcPr>
            <w:tcW w:w="1054" w:type="dxa"/>
            <w:tcBorders>
              <w:top w:val="nil"/>
              <w:left w:val="nil"/>
              <w:bottom w:val="single" w:sz="4" w:space="0" w:color="auto"/>
              <w:right w:val="single" w:sz="4" w:space="0" w:color="auto"/>
            </w:tcBorders>
            <w:shd w:val="clear" w:color="auto" w:fill="auto"/>
            <w:noWrap/>
            <w:vAlign w:val="bottom"/>
            <w:hideMark/>
          </w:tcPr>
          <w:p w14:paraId="44D6A0F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0.31%</w:t>
            </w:r>
          </w:p>
        </w:tc>
      </w:tr>
      <w:tr w:rsidR="009A70A4" w:rsidRPr="009A70A4" w14:paraId="29D97481"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FC3398E"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solrig</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1F83CC89"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Stiff Goldenrod</w:t>
            </w:r>
          </w:p>
        </w:tc>
        <w:tc>
          <w:tcPr>
            <w:tcW w:w="2520" w:type="dxa"/>
            <w:tcBorders>
              <w:top w:val="nil"/>
              <w:left w:val="nil"/>
              <w:bottom w:val="single" w:sz="4" w:space="0" w:color="auto"/>
              <w:right w:val="single" w:sz="4" w:space="0" w:color="auto"/>
            </w:tcBorders>
            <w:shd w:val="clear" w:color="auto" w:fill="A9D08E"/>
            <w:noWrap/>
            <w:vAlign w:val="bottom"/>
            <w:hideMark/>
          </w:tcPr>
          <w:p w14:paraId="1E4A7658"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Solidago rigida</w:t>
            </w:r>
          </w:p>
        </w:tc>
        <w:tc>
          <w:tcPr>
            <w:tcW w:w="900" w:type="dxa"/>
            <w:tcBorders>
              <w:top w:val="nil"/>
              <w:left w:val="nil"/>
              <w:bottom w:val="single" w:sz="4" w:space="0" w:color="auto"/>
              <w:right w:val="single" w:sz="4" w:space="0" w:color="auto"/>
            </w:tcBorders>
            <w:shd w:val="clear" w:color="auto" w:fill="auto"/>
            <w:noWrap/>
            <w:vAlign w:val="bottom"/>
            <w:hideMark/>
          </w:tcPr>
          <w:p w14:paraId="29AAC7E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17C338F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376D2BF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0.45</w:t>
            </w:r>
          </w:p>
        </w:tc>
        <w:tc>
          <w:tcPr>
            <w:tcW w:w="1054" w:type="dxa"/>
            <w:tcBorders>
              <w:top w:val="nil"/>
              <w:left w:val="nil"/>
              <w:bottom w:val="single" w:sz="4" w:space="0" w:color="auto"/>
              <w:right w:val="single" w:sz="4" w:space="0" w:color="auto"/>
            </w:tcBorders>
            <w:shd w:val="clear" w:color="auto" w:fill="auto"/>
            <w:noWrap/>
            <w:vAlign w:val="bottom"/>
            <w:hideMark/>
          </w:tcPr>
          <w:p w14:paraId="723D044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0.85%</w:t>
            </w:r>
          </w:p>
        </w:tc>
      </w:tr>
      <w:tr w:rsidR="009A70A4" w:rsidRPr="009A70A4" w14:paraId="0EA16FC0"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6573D93"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solspe</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2BE1F989"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Showy Goldenrod</w:t>
            </w:r>
          </w:p>
        </w:tc>
        <w:tc>
          <w:tcPr>
            <w:tcW w:w="2520" w:type="dxa"/>
            <w:tcBorders>
              <w:top w:val="nil"/>
              <w:left w:val="nil"/>
              <w:bottom w:val="single" w:sz="4" w:space="0" w:color="auto"/>
              <w:right w:val="single" w:sz="4" w:space="0" w:color="auto"/>
            </w:tcBorders>
            <w:shd w:val="clear" w:color="auto" w:fill="A9D08E"/>
            <w:noWrap/>
            <w:vAlign w:val="bottom"/>
            <w:hideMark/>
          </w:tcPr>
          <w:p w14:paraId="172EBB0A"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Solidago speciosa</w:t>
            </w:r>
          </w:p>
        </w:tc>
        <w:tc>
          <w:tcPr>
            <w:tcW w:w="900" w:type="dxa"/>
            <w:tcBorders>
              <w:top w:val="nil"/>
              <w:left w:val="nil"/>
              <w:bottom w:val="single" w:sz="4" w:space="0" w:color="auto"/>
              <w:right w:val="single" w:sz="4" w:space="0" w:color="auto"/>
            </w:tcBorders>
            <w:shd w:val="clear" w:color="auto" w:fill="auto"/>
            <w:noWrap/>
            <w:vAlign w:val="bottom"/>
            <w:hideMark/>
          </w:tcPr>
          <w:p w14:paraId="76CA1FEF"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4338019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56A2021A"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0.59</w:t>
            </w:r>
          </w:p>
        </w:tc>
        <w:tc>
          <w:tcPr>
            <w:tcW w:w="1054" w:type="dxa"/>
            <w:tcBorders>
              <w:top w:val="nil"/>
              <w:left w:val="nil"/>
              <w:bottom w:val="single" w:sz="4" w:space="0" w:color="auto"/>
              <w:right w:val="single" w:sz="4" w:space="0" w:color="auto"/>
            </w:tcBorders>
            <w:shd w:val="clear" w:color="auto" w:fill="auto"/>
            <w:noWrap/>
            <w:vAlign w:val="bottom"/>
            <w:hideMark/>
          </w:tcPr>
          <w:p w14:paraId="2037902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1.11%</w:t>
            </w:r>
          </w:p>
        </w:tc>
      </w:tr>
      <w:tr w:rsidR="009A70A4" w:rsidRPr="009A70A4" w14:paraId="7FF98251"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248D4D7"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symeri</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1F1A2FDF"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Heath Aster</w:t>
            </w:r>
          </w:p>
        </w:tc>
        <w:tc>
          <w:tcPr>
            <w:tcW w:w="2520" w:type="dxa"/>
            <w:tcBorders>
              <w:top w:val="nil"/>
              <w:left w:val="nil"/>
              <w:bottom w:val="single" w:sz="4" w:space="0" w:color="auto"/>
              <w:right w:val="single" w:sz="4" w:space="0" w:color="auto"/>
            </w:tcBorders>
            <w:shd w:val="clear" w:color="auto" w:fill="A9D08E"/>
            <w:noWrap/>
            <w:vAlign w:val="bottom"/>
            <w:hideMark/>
          </w:tcPr>
          <w:p w14:paraId="4AAB49D7"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Symphyotrichum</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ericoides</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83C900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366F1F7C"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6017ACF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0.73</w:t>
            </w:r>
          </w:p>
        </w:tc>
        <w:tc>
          <w:tcPr>
            <w:tcW w:w="1054" w:type="dxa"/>
            <w:tcBorders>
              <w:top w:val="nil"/>
              <w:left w:val="nil"/>
              <w:bottom w:val="single" w:sz="4" w:space="0" w:color="auto"/>
              <w:right w:val="single" w:sz="4" w:space="0" w:color="auto"/>
            </w:tcBorders>
            <w:shd w:val="clear" w:color="auto" w:fill="auto"/>
            <w:noWrap/>
            <w:vAlign w:val="bottom"/>
            <w:hideMark/>
          </w:tcPr>
          <w:p w14:paraId="07526BAD"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1.39%</w:t>
            </w:r>
          </w:p>
        </w:tc>
      </w:tr>
      <w:tr w:rsidR="009A70A4" w:rsidRPr="009A70A4" w14:paraId="02EA4800"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2095FA7"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symlae</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5CA757D1"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Smooth Blue Aster</w:t>
            </w:r>
          </w:p>
        </w:tc>
        <w:tc>
          <w:tcPr>
            <w:tcW w:w="2520" w:type="dxa"/>
            <w:tcBorders>
              <w:top w:val="nil"/>
              <w:left w:val="nil"/>
              <w:bottom w:val="single" w:sz="4" w:space="0" w:color="auto"/>
              <w:right w:val="single" w:sz="4" w:space="0" w:color="auto"/>
            </w:tcBorders>
            <w:shd w:val="clear" w:color="auto" w:fill="A9D08E"/>
            <w:noWrap/>
            <w:vAlign w:val="bottom"/>
            <w:hideMark/>
          </w:tcPr>
          <w:p w14:paraId="1AE0D813"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Symphyotrichum</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laeve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3ECE2100"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04D4DD8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75429C4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0.61</w:t>
            </w:r>
          </w:p>
        </w:tc>
        <w:tc>
          <w:tcPr>
            <w:tcW w:w="1054" w:type="dxa"/>
            <w:tcBorders>
              <w:top w:val="nil"/>
              <w:left w:val="nil"/>
              <w:bottom w:val="single" w:sz="4" w:space="0" w:color="auto"/>
              <w:right w:val="single" w:sz="4" w:space="0" w:color="auto"/>
            </w:tcBorders>
            <w:shd w:val="clear" w:color="auto" w:fill="auto"/>
            <w:noWrap/>
            <w:vAlign w:val="bottom"/>
            <w:hideMark/>
          </w:tcPr>
          <w:p w14:paraId="1771C6F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1.14%</w:t>
            </w:r>
          </w:p>
        </w:tc>
      </w:tr>
      <w:tr w:rsidR="009A70A4" w:rsidRPr="009A70A4" w14:paraId="76EA5C6C"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0D8D4CE"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symool</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4968D481"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Sky Blue Aster</w:t>
            </w:r>
          </w:p>
        </w:tc>
        <w:tc>
          <w:tcPr>
            <w:tcW w:w="2520" w:type="dxa"/>
            <w:tcBorders>
              <w:top w:val="nil"/>
              <w:left w:val="nil"/>
              <w:bottom w:val="single" w:sz="4" w:space="0" w:color="auto"/>
              <w:right w:val="single" w:sz="4" w:space="0" w:color="auto"/>
            </w:tcBorders>
            <w:shd w:val="clear" w:color="auto" w:fill="A9D08E"/>
            <w:noWrap/>
            <w:vAlign w:val="bottom"/>
            <w:hideMark/>
          </w:tcPr>
          <w:p w14:paraId="55AD3865"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Symphyotrichum</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oolentangiense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71596B3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0E73AFE5"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072FA89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0.88</w:t>
            </w:r>
          </w:p>
        </w:tc>
        <w:tc>
          <w:tcPr>
            <w:tcW w:w="1054" w:type="dxa"/>
            <w:tcBorders>
              <w:top w:val="nil"/>
              <w:left w:val="nil"/>
              <w:bottom w:val="single" w:sz="4" w:space="0" w:color="auto"/>
              <w:right w:val="single" w:sz="4" w:space="0" w:color="auto"/>
            </w:tcBorders>
            <w:shd w:val="clear" w:color="auto" w:fill="auto"/>
            <w:noWrap/>
            <w:vAlign w:val="bottom"/>
            <w:hideMark/>
          </w:tcPr>
          <w:p w14:paraId="4A63EF91"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1.67%</w:t>
            </w:r>
          </w:p>
        </w:tc>
      </w:tr>
      <w:tr w:rsidR="009A70A4" w:rsidRPr="009A70A4" w14:paraId="5825E4AB"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7E897C5"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trabra</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51130FD8"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Prairie Spiderwort</w:t>
            </w:r>
          </w:p>
        </w:tc>
        <w:tc>
          <w:tcPr>
            <w:tcW w:w="2520" w:type="dxa"/>
            <w:tcBorders>
              <w:top w:val="nil"/>
              <w:left w:val="nil"/>
              <w:bottom w:val="single" w:sz="4" w:space="0" w:color="auto"/>
              <w:right w:val="single" w:sz="4" w:space="0" w:color="auto"/>
            </w:tcBorders>
            <w:shd w:val="clear" w:color="auto" w:fill="A9D08E"/>
            <w:noWrap/>
            <w:vAlign w:val="bottom"/>
            <w:hideMark/>
          </w:tcPr>
          <w:p w14:paraId="6353C2E9"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 xml:space="preserve">Tradescantia </w:t>
            </w:r>
            <w:proofErr w:type="spellStart"/>
            <w:r w:rsidRPr="009A70A4">
              <w:rPr>
                <w:rFonts w:ascii="Arial" w:eastAsia="Times New Roman" w:hAnsi="Arial" w:cs="Arial"/>
                <w:color w:val="000000"/>
                <w:sz w:val="20"/>
                <w:szCs w:val="20"/>
              </w:rPr>
              <w:t>bracteata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F693EA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2394AC76"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19A8FC0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0.11</w:t>
            </w:r>
          </w:p>
        </w:tc>
        <w:tc>
          <w:tcPr>
            <w:tcW w:w="1054" w:type="dxa"/>
            <w:tcBorders>
              <w:top w:val="nil"/>
              <w:left w:val="nil"/>
              <w:bottom w:val="single" w:sz="4" w:space="0" w:color="auto"/>
              <w:right w:val="single" w:sz="4" w:space="0" w:color="auto"/>
            </w:tcBorders>
            <w:shd w:val="clear" w:color="auto" w:fill="auto"/>
            <w:noWrap/>
            <w:vAlign w:val="bottom"/>
            <w:hideMark/>
          </w:tcPr>
          <w:p w14:paraId="02D8F46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0.21%</w:t>
            </w:r>
          </w:p>
        </w:tc>
      </w:tr>
      <w:tr w:rsidR="009A70A4" w:rsidRPr="009A70A4" w14:paraId="5E24FA26"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0C2639E"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zizapt</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7C7479AA"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Heartleaf Alexanders</w:t>
            </w:r>
          </w:p>
        </w:tc>
        <w:tc>
          <w:tcPr>
            <w:tcW w:w="2520" w:type="dxa"/>
            <w:tcBorders>
              <w:top w:val="nil"/>
              <w:left w:val="nil"/>
              <w:bottom w:val="single" w:sz="4" w:space="0" w:color="auto"/>
              <w:right w:val="single" w:sz="4" w:space="0" w:color="auto"/>
            </w:tcBorders>
            <w:shd w:val="clear" w:color="auto" w:fill="A9D08E"/>
            <w:noWrap/>
            <w:vAlign w:val="bottom"/>
            <w:hideMark/>
          </w:tcPr>
          <w:p w14:paraId="1B6C63B9"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Zizia</w:t>
            </w:r>
            <w:proofErr w:type="spellEnd"/>
            <w:r w:rsidRPr="009A70A4">
              <w:rPr>
                <w:rFonts w:ascii="Arial" w:eastAsia="Times New Roman" w:hAnsi="Arial" w:cs="Arial"/>
                <w:color w:val="000000"/>
                <w:sz w:val="20"/>
                <w:szCs w:val="20"/>
              </w:rPr>
              <w:t xml:space="preserve"> aptera</w:t>
            </w:r>
          </w:p>
        </w:tc>
        <w:tc>
          <w:tcPr>
            <w:tcW w:w="900" w:type="dxa"/>
            <w:tcBorders>
              <w:top w:val="nil"/>
              <w:left w:val="nil"/>
              <w:bottom w:val="single" w:sz="4" w:space="0" w:color="auto"/>
              <w:right w:val="single" w:sz="4" w:space="0" w:color="auto"/>
            </w:tcBorders>
            <w:shd w:val="clear" w:color="auto" w:fill="auto"/>
            <w:noWrap/>
            <w:vAlign w:val="bottom"/>
            <w:hideMark/>
          </w:tcPr>
          <w:p w14:paraId="283A7884"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662E1E4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106" w:type="dxa"/>
            <w:tcBorders>
              <w:top w:val="nil"/>
              <w:left w:val="nil"/>
              <w:bottom w:val="single" w:sz="4" w:space="0" w:color="auto"/>
              <w:right w:val="single" w:sz="4" w:space="0" w:color="auto"/>
            </w:tcBorders>
            <w:shd w:val="clear" w:color="auto" w:fill="auto"/>
            <w:noWrap/>
            <w:vAlign w:val="bottom"/>
            <w:hideMark/>
          </w:tcPr>
          <w:p w14:paraId="124D01E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0.13</w:t>
            </w:r>
          </w:p>
        </w:tc>
        <w:tc>
          <w:tcPr>
            <w:tcW w:w="1054" w:type="dxa"/>
            <w:tcBorders>
              <w:top w:val="nil"/>
              <w:left w:val="nil"/>
              <w:bottom w:val="single" w:sz="4" w:space="0" w:color="auto"/>
              <w:right w:val="single" w:sz="4" w:space="0" w:color="auto"/>
            </w:tcBorders>
            <w:shd w:val="clear" w:color="auto" w:fill="auto"/>
            <w:noWrap/>
            <w:vAlign w:val="bottom"/>
            <w:hideMark/>
          </w:tcPr>
          <w:p w14:paraId="2F4DFE6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0.25%</w:t>
            </w:r>
          </w:p>
        </w:tc>
      </w:tr>
      <w:tr w:rsidR="009A70A4" w:rsidRPr="009A70A4" w14:paraId="4B9DC9DD"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B9D6A02"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zizaur</w:t>
            </w:r>
            <w:proofErr w:type="spellEnd"/>
          </w:p>
        </w:tc>
        <w:tc>
          <w:tcPr>
            <w:tcW w:w="2132" w:type="dxa"/>
            <w:tcBorders>
              <w:top w:val="nil"/>
              <w:left w:val="nil"/>
              <w:bottom w:val="single" w:sz="4" w:space="0" w:color="auto"/>
              <w:right w:val="single" w:sz="4" w:space="0" w:color="auto"/>
            </w:tcBorders>
            <w:shd w:val="clear" w:color="auto" w:fill="auto"/>
            <w:noWrap/>
            <w:vAlign w:val="bottom"/>
            <w:hideMark/>
          </w:tcPr>
          <w:p w14:paraId="70F89F46"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Golden Alexanders</w:t>
            </w:r>
          </w:p>
        </w:tc>
        <w:tc>
          <w:tcPr>
            <w:tcW w:w="2520" w:type="dxa"/>
            <w:tcBorders>
              <w:top w:val="nil"/>
              <w:left w:val="nil"/>
              <w:bottom w:val="single" w:sz="4" w:space="0" w:color="auto"/>
              <w:right w:val="single" w:sz="4" w:space="0" w:color="auto"/>
            </w:tcBorders>
            <w:shd w:val="clear" w:color="auto" w:fill="A9D08E"/>
            <w:noWrap/>
            <w:vAlign w:val="bottom"/>
            <w:hideMark/>
          </w:tcPr>
          <w:p w14:paraId="0D032463"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Zizia</w:t>
            </w:r>
            <w:proofErr w:type="spellEnd"/>
            <w:r w:rsidRPr="009A70A4">
              <w:rPr>
                <w:rFonts w:ascii="Arial" w:eastAsia="Times New Roman" w:hAnsi="Arial" w:cs="Arial"/>
                <w:color w:val="000000"/>
                <w:sz w:val="20"/>
                <w:szCs w:val="20"/>
              </w:rPr>
              <w:t xml:space="preserve"> </w:t>
            </w:r>
            <w:proofErr w:type="spellStart"/>
            <w:r w:rsidRPr="009A70A4">
              <w:rPr>
                <w:rFonts w:ascii="Arial" w:eastAsia="Times New Roman" w:hAnsi="Arial" w:cs="Arial"/>
                <w:color w:val="000000"/>
                <w:sz w:val="20"/>
                <w:szCs w:val="20"/>
              </w:rPr>
              <w:t>aurea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C97A96E"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0.15</w:t>
            </w:r>
          </w:p>
        </w:tc>
        <w:tc>
          <w:tcPr>
            <w:tcW w:w="1170" w:type="dxa"/>
            <w:tcBorders>
              <w:top w:val="nil"/>
              <w:left w:val="nil"/>
              <w:bottom w:val="single" w:sz="4" w:space="0" w:color="auto"/>
              <w:right w:val="single" w:sz="4" w:space="0" w:color="auto"/>
            </w:tcBorders>
            <w:shd w:val="clear" w:color="auto" w:fill="auto"/>
            <w:noWrap/>
            <w:vAlign w:val="bottom"/>
            <w:hideMark/>
          </w:tcPr>
          <w:p w14:paraId="714BB507"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0.65%</w:t>
            </w:r>
          </w:p>
        </w:tc>
        <w:tc>
          <w:tcPr>
            <w:tcW w:w="1106" w:type="dxa"/>
            <w:tcBorders>
              <w:top w:val="nil"/>
              <w:left w:val="nil"/>
              <w:bottom w:val="single" w:sz="4" w:space="0" w:color="auto"/>
              <w:right w:val="single" w:sz="4" w:space="0" w:color="auto"/>
            </w:tcBorders>
            <w:shd w:val="clear" w:color="auto" w:fill="auto"/>
            <w:noWrap/>
            <w:vAlign w:val="bottom"/>
            <w:hideMark/>
          </w:tcPr>
          <w:p w14:paraId="006CC61B"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0.61</w:t>
            </w:r>
          </w:p>
        </w:tc>
        <w:tc>
          <w:tcPr>
            <w:tcW w:w="1054" w:type="dxa"/>
            <w:tcBorders>
              <w:top w:val="nil"/>
              <w:left w:val="nil"/>
              <w:bottom w:val="single" w:sz="4" w:space="0" w:color="auto"/>
              <w:right w:val="single" w:sz="4" w:space="0" w:color="auto"/>
            </w:tcBorders>
            <w:shd w:val="clear" w:color="auto" w:fill="auto"/>
            <w:noWrap/>
            <w:vAlign w:val="bottom"/>
            <w:hideMark/>
          </w:tcPr>
          <w:p w14:paraId="67F8B753"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1.14%</w:t>
            </w:r>
          </w:p>
        </w:tc>
      </w:tr>
      <w:tr w:rsidR="009A70A4" w:rsidRPr="009A70A4" w14:paraId="1B69570F"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9BC2E6"/>
            <w:noWrap/>
            <w:vAlign w:val="bottom"/>
            <w:hideMark/>
          </w:tcPr>
          <w:p w14:paraId="7F55F900"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132" w:type="dxa"/>
            <w:tcBorders>
              <w:top w:val="nil"/>
              <w:left w:val="nil"/>
              <w:bottom w:val="single" w:sz="4" w:space="0" w:color="auto"/>
              <w:right w:val="single" w:sz="4" w:space="0" w:color="auto"/>
            </w:tcBorders>
            <w:shd w:val="clear" w:color="auto" w:fill="9BC2E6"/>
            <w:noWrap/>
            <w:vAlign w:val="bottom"/>
            <w:hideMark/>
          </w:tcPr>
          <w:p w14:paraId="203E6D69"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520" w:type="dxa"/>
            <w:tcBorders>
              <w:top w:val="nil"/>
              <w:left w:val="nil"/>
              <w:bottom w:val="single" w:sz="4" w:space="0" w:color="auto"/>
              <w:right w:val="single" w:sz="4" w:space="0" w:color="auto"/>
            </w:tcBorders>
            <w:shd w:val="clear" w:color="auto" w:fill="9BC2E6"/>
            <w:noWrap/>
            <w:vAlign w:val="bottom"/>
            <w:hideMark/>
          </w:tcPr>
          <w:p w14:paraId="15F82B17"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Forbs Subtotal</w:t>
            </w:r>
          </w:p>
        </w:tc>
        <w:tc>
          <w:tcPr>
            <w:tcW w:w="900" w:type="dxa"/>
            <w:tcBorders>
              <w:top w:val="nil"/>
              <w:left w:val="nil"/>
              <w:bottom w:val="single" w:sz="4" w:space="0" w:color="auto"/>
              <w:right w:val="single" w:sz="4" w:space="0" w:color="auto"/>
            </w:tcBorders>
            <w:shd w:val="clear" w:color="auto" w:fill="9BC2E6"/>
            <w:noWrap/>
            <w:vAlign w:val="bottom"/>
            <w:hideMark/>
          </w:tcPr>
          <w:p w14:paraId="6C99D1F1"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2.10</w:t>
            </w:r>
          </w:p>
        </w:tc>
        <w:tc>
          <w:tcPr>
            <w:tcW w:w="1170" w:type="dxa"/>
            <w:tcBorders>
              <w:top w:val="nil"/>
              <w:left w:val="nil"/>
              <w:bottom w:val="single" w:sz="4" w:space="0" w:color="auto"/>
              <w:right w:val="single" w:sz="4" w:space="0" w:color="auto"/>
            </w:tcBorders>
            <w:shd w:val="clear" w:color="auto" w:fill="9BC2E6"/>
            <w:noWrap/>
            <w:vAlign w:val="bottom"/>
            <w:hideMark/>
          </w:tcPr>
          <w:p w14:paraId="6417FA6B"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9.09%</w:t>
            </w:r>
          </w:p>
        </w:tc>
        <w:tc>
          <w:tcPr>
            <w:tcW w:w="1106" w:type="dxa"/>
            <w:tcBorders>
              <w:top w:val="nil"/>
              <w:left w:val="nil"/>
              <w:bottom w:val="single" w:sz="4" w:space="0" w:color="auto"/>
              <w:right w:val="single" w:sz="4" w:space="0" w:color="auto"/>
            </w:tcBorders>
            <w:shd w:val="clear" w:color="auto" w:fill="9BC2E6"/>
            <w:noWrap/>
            <w:vAlign w:val="bottom"/>
            <w:hideMark/>
          </w:tcPr>
          <w:p w14:paraId="06EEBC0F"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16.92</w:t>
            </w:r>
          </w:p>
        </w:tc>
        <w:tc>
          <w:tcPr>
            <w:tcW w:w="1054" w:type="dxa"/>
            <w:tcBorders>
              <w:top w:val="nil"/>
              <w:left w:val="nil"/>
              <w:bottom w:val="single" w:sz="4" w:space="0" w:color="auto"/>
              <w:right w:val="single" w:sz="4" w:space="0" w:color="auto"/>
            </w:tcBorders>
            <w:shd w:val="clear" w:color="auto" w:fill="9BC2E6"/>
            <w:noWrap/>
            <w:vAlign w:val="bottom"/>
            <w:hideMark/>
          </w:tcPr>
          <w:p w14:paraId="0FB12F1E"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31.96%</w:t>
            </w:r>
          </w:p>
        </w:tc>
      </w:tr>
      <w:tr w:rsidR="009A70A4" w:rsidRPr="009A70A4" w14:paraId="31CC3E17"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33DA707"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cover</w:t>
            </w:r>
          </w:p>
        </w:tc>
        <w:tc>
          <w:tcPr>
            <w:tcW w:w="2132" w:type="dxa"/>
            <w:tcBorders>
              <w:top w:val="nil"/>
              <w:left w:val="nil"/>
              <w:bottom w:val="single" w:sz="4" w:space="0" w:color="auto"/>
              <w:right w:val="single" w:sz="4" w:space="0" w:color="auto"/>
            </w:tcBorders>
            <w:shd w:val="clear" w:color="auto" w:fill="auto"/>
            <w:noWrap/>
            <w:vAlign w:val="bottom"/>
            <w:hideMark/>
          </w:tcPr>
          <w:p w14:paraId="5F3D8372" w14:textId="77777777" w:rsidR="009A70A4" w:rsidRPr="009A70A4" w:rsidRDefault="009A70A4" w:rsidP="009A70A4">
            <w:pPr>
              <w:rPr>
                <w:rFonts w:ascii="Arial" w:eastAsia="Times New Roman" w:hAnsi="Arial" w:cs="Arial"/>
                <w:color w:val="000000"/>
                <w:sz w:val="20"/>
                <w:szCs w:val="20"/>
              </w:rPr>
            </w:pPr>
            <w:r w:rsidRPr="009A70A4">
              <w:rPr>
                <w:rFonts w:ascii="Arial" w:eastAsia="Times New Roman" w:hAnsi="Arial" w:cs="Arial"/>
                <w:color w:val="000000"/>
                <w:sz w:val="20"/>
                <w:szCs w:val="20"/>
              </w:rPr>
              <w:t>Oats/Winter Wheat</w:t>
            </w:r>
          </w:p>
        </w:tc>
        <w:tc>
          <w:tcPr>
            <w:tcW w:w="2520" w:type="dxa"/>
            <w:tcBorders>
              <w:top w:val="nil"/>
              <w:left w:val="nil"/>
              <w:bottom w:val="single" w:sz="4" w:space="0" w:color="auto"/>
              <w:right w:val="single" w:sz="4" w:space="0" w:color="auto"/>
            </w:tcBorders>
            <w:shd w:val="clear" w:color="auto" w:fill="A9D08E"/>
            <w:noWrap/>
            <w:vAlign w:val="bottom"/>
            <w:hideMark/>
          </w:tcPr>
          <w:p w14:paraId="55E88654" w14:textId="77777777" w:rsidR="009A70A4" w:rsidRPr="009A70A4" w:rsidRDefault="009A70A4" w:rsidP="009A70A4">
            <w:pPr>
              <w:rPr>
                <w:rFonts w:ascii="Arial" w:eastAsia="Times New Roman" w:hAnsi="Arial" w:cs="Arial"/>
                <w:color w:val="000000"/>
                <w:sz w:val="20"/>
                <w:szCs w:val="20"/>
              </w:rPr>
            </w:pPr>
            <w:proofErr w:type="spellStart"/>
            <w:r w:rsidRPr="009A70A4">
              <w:rPr>
                <w:rFonts w:ascii="Arial" w:eastAsia="Times New Roman" w:hAnsi="Arial" w:cs="Arial"/>
                <w:color w:val="000000"/>
                <w:sz w:val="20"/>
                <w:szCs w:val="20"/>
              </w:rPr>
              <w:t>Avena</w:t>
            </w:r>
            <w:proofErr w:type="spellEnd"/>
            <w:r w:rsidRPr="009A70A4">
              <w:rPr>
                <w:rFonts w:ascii="Arial" w:eastAsia="Times New Roman" w:hAnsi="Arial" w:cs="Arial"/>
                <w:color w:val="000000"/>
                <w:sz w:val="20"/>
                <w:szCs w:val="20"/>
              </w:rPr>
              <w:t xml:space="preserve"> sativa/Triticum </w:t>
            </w:r>
            <w:proofErr w:type="spellStart"/>
            <w:r w:rsidRPr="009A70A4">
              <w:rPr>
                <w:rFonts w:ascii="Arial" w:eastAsia="Times New Roman" w:hAnsi="Arial" w:cs="Arial"/>
                <w:color w:val="000000"/>
                <w:sz w:val="20"/>
                <w:szCs w:val="20"/>
              </w:rPr>
              <w:t>aestivum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4761D28"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15.00</w:t>
            </w:r>
          </w:p>
        </w:tc>
        <w:tc>
          <w:tcPr>
            <w:tcW w:w="1170" w:type="dxa"/>
            <w:tcBorders>
              <w:top w:val="nil"/>
              <w:left w:val="nil"/>
              <w:bottom w:val="single" w:sz="4" w:space="0" w:color="auto"/>
              <w:right w:val="single" w:sz="4" w:space="0" w:color="auto"/>
            </w:tcBorders>
            <w:shd w:val="clear" w:color="auto" w:fill="auto"/>
            <w:noWrap/>
            <w:vAlign w:val="bottom"/>
            <w:hideMark/>
          </w:tcPr>
          <w:p w14:paraId="52495CCD"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64.94%</w:t>
            </w:r>
          </w:p>
        </w:tc>
        <w:tc>
          <w:tcPr>
            <w:tcW w:w="1106" w:type="dxa"/>
            <w:tcBorders>
              <w:top w:val="nil"/>
              <w:left w:val="nil"/>
              <w:bottom w:val="single" w:sz="4" w:space="0" w:color="auto"/>
              <w:right w:val="single" w:sz="4" w:space="0" w:color="auto"/>
            </w:tcBorders>
            <w:shd w:val="clear" w:color="auto" w:fill="auto"/>
            <w:noWrap/>
            <w:vAlign w:val="bottom"/>
            <w:hideMark/>
          </w:tcPr>
          <w:p w14:paraId="6379F31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6.68</w:t>
            </w:r>
          </w:p>
        </w:tc>
        <w:tc>
          <w:tcPr>
            <w:tcW w:w="1054" w:type="dxa"/>
            <w:tcBorders>
              <w:top w:val="nil"/>
              <w:left w:val="nil"/>
              <w:bottom w:val="single" w:sz="4" w:space="0" w:color="auto"/>
              <w:right w:val="single" w:sz="4" w:space="0" w:color="auto"/>
            </w:tcBorders>
            <w:shd w:val="clear" w:color="auto" w:fill="auto"/>
            <w:noWrap/>
            <w:vAlign w:val="bottom"/>
            <w:hideMark/>
          </w:tcPr>
          <w:p w14:paraId="586EE822" w14:textId="77777777" w:rsidR="009A70A4" w:rsidRPr="009A70A4" w:rsidRDefault="009A70A4" w:rsidP="009A70A4">
            <w:pPr>
              <w:jc w:val="right"/>
              <w:rPr>
                <w:rFonts w:ascii="Arial" w:eastAsia="Times New Roman" w:hAnsi="Arial" w:cs="Arial"/>
                <w:color w:val="000000"/>
                <w:sz w:val="20"/>
                <w:szCs w:val="20"/>
              </w:rPr>
            </w:pPr>
            <w:r w:rsidRPr="009A70A4">
              <w:rPr>
                <w:rFonts w:ascii="Arial" w:eastAsia="Times New Roman" w:hAnsi="Arial" w:cs="Arial"/>
                <w:color w:val="000000"/>
                <w:sz w:val="20"/>
                <w:szCs w:val="20"/>
              </w:rPr>
              <w:t>12.62%</w:t>
            </w:r>
          </w:p>
        </w:tc>
      </w:tr>
      <w:tr w:rsidR="009A70A4" w:rsidRPr="009A70A4" w14:paraId="2D7C62BB"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9BC2E6"/>
            <w:noWrap/>
            <w:vAlign w:val="bottom"/>
            <w:hideMark/>
          </w:tcPr>
          <w:p w14:paraId="0376B4C0"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132" w:type="dxa"/>
            <w:tcBorders>
              <w:top w:val="nil"/>
              <w:left w:val="nil"/>
              <w:bottom w:val="single" w:sz="4" w:space="0" w:color="auto"/>
              <w:right w:val="single" w:sz="4" w:space="0" w:color="auto"/>
            </w:tcBorders>
            <w:shd w:val="clear" w:color="auto" w:fill="9BC2E6"/>
            <w:noWrap/>
            <w:vAlign w:val="bottom"/>
            <w:hideMark/>
          </w:tcPr>
          <w:p w14:paraId="7C00ECA8"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520" w:type="dxa"/>
            <w:tcBorders>
              <w:top w:val="nil"/>
              <w:left w:val="nil"/>
              <w:bottom w:val="single" w:sz="4" w:space="0" w:color="auto"/>
              <w:right w:val="single" w:sz="4" w:space="0" w:color="auto"/>
            </w:tcBorders>
            <w:shd w:val="clear" w:color="auto" w:fill="9BC2E6"/>
            <w:noWrap/>
            <w:vAlign w:val="bottom"/>
            <w:hideMark/>
          </w:tcPr>
          <w:p w14:paraId="4A83F11A"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Cover Crop Subtotal</w:t>
            </w:r>
          </w:p>
        </w:tc>
        <w:tc>
          <w:tcPr>
            <w:tcW w:w="900" w:type="dxa"/>
            <w:tcBorders>
              <w:top w:val="nil"/>
              <w:left w:val="nil"/>
              <w:bottom w:val="single" w:sz="4" w:space="0" w:color="auto"/>
              <w:right w:val="single" w:sz="4" w:space="0" w:color="auto"/>
            </w:tcBorders>
            <w:shd w:val="clear" w:color="auto" w:fill="9BC2E6"/>
            <w:noWrap/>
            <w:vAlign w:val="bottom"/>
            <w:hideMark/>
          </w:tcPr>
          <w:p w14:paraId="42C546E4"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15.00</w:t>
            </w:r>
          </w:p>
        </w:tc>
        <w:tc>
          <w:tcPr>
            <w:tcW w:w="1170" w:type="dxa"/>
            <w:tcBorders>
              <w:top w:val="nil"/>
              <w:left w:val="nil"/>
              <w:bottom w:val="single" w:sz="4" w:space="0" w:color="auto"/>
              <w:right w:val="single" w:sz="4" w:space="0" w:color="auto"/>
            </w:tcBorders>
            <w:shd w:val="clear" w:color="auto" w:fill="9BC2E6"/>
            <w:noWrap/>
            <w:vAlign w:val="bottom"/>
            <w:hideMark/>
          </w:tcPr>
          <w:p w14:paraId="253D6781"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64.94%</w:t>
            </w:r>
          </w:p>
        </w:tc>
        <w:tc>
          <w:tcPr>
            <w:tcW w:w="1106" w:type="dxa"/>
            <w:tcBorders>
              <w:top w:val="nil"/>
              <w:left w:val="nil"/>
              <w:bottom w:val="single" w:sz="4" w:space="0" w:color="auto"/>
              <w:right w:val="single" w:sz="4" w:space="0" w:color="auto"/>
            </w:tcBorders>
            <w:shd w:val="clear" w:color="auto" w:fill="9BC2E6"/>
            <w:noWrap/>
            <w:vAlign w:val="bottom"/>
            <w:hideMark/>
          </w:tcPr>
          <w:p w14:paraId="3FB88F10"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6.68</w:t>
            </w:r>
          </w:p>
        </w:tc>
        <w:tc>
          <w:tcPr>
            <w:tcW w:w="1054" w:type="dxa"/>
            <w:tcBorders>
              <w:top w:val="nil"/>
              <w:left w:val="nil"/>
              <w:bottom w:val="single" w:sz="4" w:space="0" w:color="auto"/>
              <w:right w:val="single" w:sz="4" w:space="0" w:color="auto"/>
            </w:tcBorders>
            <w:shd w:val="clear" w:color="auto" w:fill="9BC2E6"/>
            <w:noWrap/>
            <w:vAlign w:val="bottom"/>
            <w:hideMark/>
          </w:tcPr>
          <w:p w14:paraId="2655326E"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12.62%</w:t>
            </w:r>
          </w:p>
        </w:tc>
      </w:tr>
      <w:tr w:rsidR="009A70A4" w:rsidRPr="009A70A4" w14:paraId="6CF12311" w14:textId="77777777" w:rsidTr="00D65FB8">
        <w:trPr>
          <w:trHeight w:val="255"/>
        </w:trPr>
        <w:tc>
          <w:tcPr>
            <w:tcW w:w="928" w:type="dxa"/>
            <w:tcBorders>
              <w:top w:val="nil"/>
              <w:left w:val="single" w:sz="4" w:space="0" w:color="auto"/>
              <w:bottom w:val="single" w:sz="4" w:space="0" w:color="auto"/>
              <w:right w:val="single" w:sz="4" w:space="0" w:color="auto"/>
            </w:tcBorders>
            <w:shd w:val="clear" w:color="auto" w:fill="9BC2E6"/>
            <w:noWrap/>
            <w:vAlign w:val="bottom"/>
            <w:hideMark/>
          </w:tcPr>
          <w:p w14:paraId="17E45F53"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132" w:type="dxa"/>
            <w:tcBorders>
              <w:top w:val="nil"/>
              <w:left w:val="nil"/>
              <w:bottom w:val="single" w:sz="4" w:space="0" w:color="auto"/>
              <w:right w:val="single" w:sz="4" w:space="0" w:color="auto"/>
            </w:tcBorders>
            <w:shd w:val="clear" w:color="auto" w:fill="9BC2E6"/>
            <w:noWrap/>
            <w:vAlign w:val="bottom"/>
            <w:hideMark/>
          </w:tcPr>
          <w:p w14:paraId="2F29C041"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 </w:t>
            </w:r>
          </w:p>
        </w:tc>
        <w:tc>
          <w:tcPr>
            <w:tcW w:w="2520" w:type="dxa"/>
            <w:tcBorders>
              <w:top w:val="nil"/>
              <w:left w:val="nil"/>
              <w:bottom w:val="single" w:sz="4" w:space="0" w:color="auto"/>
              <w:right w:val="single" w:sz="4" w:space="0" w:color="auto"/>
            </w:tcBorders>
            <w:shd w:val="clear" w:color="auto" w:fill="9BC2E6"/>
            <w:noWrap/>
            <w:vAlign w:val="bottom"/>
            <w:hideMark/>
          </w:tcPr>
          <w:p w14:paraId="6FC153EE" w14:textId="77777777" w:rsidR="009A70A4" w:rsidRPr="009A70A4" w:rsidRDefault="009A70A4" w:rsidP="009A70A4">
            <w:pPr>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Total</w:t>
            </w:r>
          </w:p>
        </w:tc>
        <w:tc>
          <w:tcPr>
            <w:tcW w:w="900" w:type="dxa"/>
            <w:tcBorders>
              <w:top w:val="nil"/>
              <w:left w:val="nil"/>
              <w:bottom w:val="single" w:sz="4" w:space="0" w:color="auto"/>
              <w:right w:val="single" w:sz="4" w:space="0" w:color="auto"/>
            </w:tcBorders>
            <w:shd w:val="clear" w:color="auto" w:fill="9BC2E6"/>
            <w:noWrap/>
            <w:vAlign w:val="bottom"/>
            <w:hideMark/>
          </w:tcPr>
          <w:p w14:paraId="66BDB4E4"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23.10</w:t>
            </w:r>
          </w:p>
        </w:tc>
        <w:tc>
          <w:tcPr>
            <w:tcW w:w="1170" w:type="dxa"/>
            <w:tcBorders>
              <w:top w:val="nil"/>
              <w:left w:val="nil"/>
              <w:bottom w:val="single" w:sz="4" w:space="0" w:color="auto"/>
              <w:right w:val="single" w:sz="4" w:space="0" w:color="auto"/>
            </w:tcBorders>
            <w:shd w:val="clear" w:color="auto" w:fill="9BC2E6"/>
            <w:noWrap/>
            <w:vAlign w:val="bottom"/>
            <w:hideMark/>
          </w:tcPr>
          <w:p w14:paraId="16D16A2B"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auto" w:fill="9BC2E6"/>
            <w:noWrap/>
            <w:vAlign w:val="bottom"/>
            <w:hideMark/>
          </w:tcPr>
          <w:p w14:paraId="7AE2B734"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52.94</w:t>
            </w:r>
          </w:p>
        </w:tc>
        <w:tc>
          <w:tcPr>
            <w:tcW w:w="1054" w:type="dxa"/>
            <w:tcBorders>
              <w:top w:val="nil"/>
              <w:left w:val="nil"/>
              <w:bottom w:val="single" w:sz="4" w:space="0" w:color="auto"/>
              <w:right w:val="single" w:sz="4" w:space="0" w:color="auto"/>
            </w:tcBorders>
            <w:shd w:val="clear" w:color="auto" w:fill="9BC2E6"/>
            <w:noWrap/>
            <w:vAlign w:val="bottom"/>
            <w:hideMark/>
          </w:tcPr>
          <w:p w14:paraId="669B3FF2" w14:textId="77777777" w:rsidR="009A70A4" w:rsidRPr="009A70A4" w:rsidRDefault="009A70A4" w:rsidP="009A70A4">
            <w:pPr>
              <w:jc w:val="right"/>
              <w:rPr>
                <w:rFonts w:ascii="Arial" w:eastAsia="Times New Roman" w:hAnsi="Arial" w:cs="Arial"/>
                <w:b/>
                <w:bCs/>
                <w:color w:val="000000"/>
                <w:sz w:val="20"/>
                <w:szCs w:val="20"/>
              </w:rPr>
            </w:pPr>
            <w:r w:rsidRPr="009A70A4">
              <w:rPr>
                <w:rFonts w:ascii="Arial" w:eastAsia="Times New Roman" w:hAnsi="Arial" w:cs="Arial"/>
                <w:b/>
                <w:bCs/>
                <w:color w:val="000000"/>
                <w:sz w:val="20"/>
                <w:szCs w:val="20"/>
              </w:rPr>
              <w:t>100.00%</w:t>
            </w:r>
          </w:p>
        </w:tc>
      </w:tr>
    </w:tbl>
    <w:p w14:paraId="74F06C13" w14:textId="77777777" w:rsidR="009A70A4" w:rsidRDefault="009A70A4" w:rsidP="05BE835C">
      <w:pPr>
        <w:rPr>
          <w:rFonts w:asciiTheme="majorHAnsi" w:hAnsiTheme="majorHAnsi" w:cstheme="majorBidi"/>
          <w:b/>
          <w:bCs/>
          <w:sz w:val="40"/>
          <w:szCs w:val="40"/>
        </w:rPr>
      </w:pPr>
    </w:p>
    <w:p w14:paraId="64E44D40" w14:textId="77777777" w:rsidR="0007505E" w:rsidRDefault="0007505E" w:rsidP="05BE835C">
      <w:pPr>
        <w:rPr>
          <w:rFonts w:asciiTheme="majorHAnsi" w:hAnsiTheme="majorHAnsi" w:cstheme="majorBidi"/>
          <w:b/>
          <w:bCs/>
          <w:sz w:val="40"/>
          <w:szCs w:val="40"/>
        </w:rPr>
      </w:pPr>
    </w:p>
    <w:p w14:paraId="005B6BE8" w14:textId="77777777" w:rsidR="0007505E" w:rsidRDefault="0007505E" w:rsidP="05BE835C">
      <w:pPr>
        <w:rPr>
          <w:rFonts w:asciiTheme="majorHAnsi" w:hAnsiTheme="majorHAnsi" w:cstheme="majorBidi"/>
          <w:b/>
          <w:bCs/>
          <w:sz w:val="40"/>
          <w:szCs w:val="40"/>
        </w:rPr>
      </w:pPr>
    </w:p>
    <w:p w14:paraId="1B2D37D8" w14:textId="2574793A" w:rsidR="00830F5A" w:rsidRDefault="7AFE03DD" w:rsidP="05BE835C">
      <w:pPr>
        <w:rPr>
          <w:rFonts w:asciiTheme="majorHAnsi" w:hAnsiTheme="majorHAnsi" w:cstheme="majorBidi"/>
          <w:b/>
          <w:bCs/>
          <w:sz w:val="40"/>
          <w:szCs w:val="40"/>
        </w:rPr>
      </w:pPr>
      <w:r w:rsidRPr="05BE835C">
        <w:rPr>
          <w:rFonts w:asciiTheme="majorHAnsi" w:hAnsiTheme="majorHAnsi" w:cstheme="majorBidi"/>
          <w:b/>
          <w:bCs/>
          <w:sz w:val="40"/>
          <w:szCs w:val="40"/>
        </w:rPr>
        <w:t xml:space="preserve">Mid Diversity </w:t>
      </w:r>
      <w:r w:rsidR="002061A0" w:rsidRPr="05BE835C">
        <w:rPr>
          <w:rFonts w:asciiTheme="majorHAnsi" w:hAnsiTheme="majorHAnsi" w:cstheme="majorBidi"/>
          <w:b/>
          <w:bCs/>
          <w:sz w:val="40"/>
          <w:szCs w:val="40"/>
        </w:rPr>
        <w:t xml:space="preserve">Solar Array </w:t>
      </w:r>
      <w:r w:rsidR="6726A642" w:rsidRPr="05BE835C">
        <w:rPr>
          <w:rFonts w:asciiTheme="majorHAnsi" w:hAnsiTheme="majorHAnsi" w:cstheme="majorBidi"/>
          <w:b/>
          <w:bCs/>
          <w:sz w:val="40"/>
          <w:szCs w:val="40"/>
        </w:rPr>
        <w:t xml:space="preserve">Mesic Soil </w:t>
      </w:r>
      <w:r w:rsidR="002061A0" w:rsidRPr="05BE835C">
        <w:rPr>
          <w:rFonts w:asciiTheme="majorHAnsi" w:hAnsiTheme="majorHAnsi" w:cstheme="majorBidi"/>
          <w:b/>
          <w:bCs/>
          <w:sz w:val="40"/>
          <w:szCs w:val="40"/>
        </w:rPr>
        <w:t>South and West Seed</w:t>
      </w:r>
      <w:r w:rsidR="00830F5A" w:rsidRPr="05BE835C">
        <w:rPr>
          <w:rFonts w:asciiTheme="majorHAnsi" w:hAnsiTheme="majorHAnsi" w:cstheme="majorBidi"/>
          <w:b/>
          <w:bCs/>
          <w:sz w:val="40"/>
          <w:szCs w:val="40"/>
        </w:rPr>
        <w:t xml:space="preserve"> Mix Guidance </w:t>
      </w:r>
    </w:p>
    <w:p w14:paraId="30C4132A" w14:textId="77777777" w:rsidR="00830F5A" w:rsidRDefault="00830F5A" w:rsidP="00830F5A">
      <w:pPr>
        <w:rPr>
          <w:rFonts w:asciiTheme="majorHAnsi" w:hAnsiTheme="majorHAnsi" w:cstheme="majorHAnsi"/>
          <w:b/>
          <w:bCs/>
        </w:rPr>
      </w:pPr>
      <w:r>
        <w:rPr>
          <w:rFonts w:asciiTheme="majorHAnsi" w:hAnsiTheme="majorHAnsi" w:cstheme="majorHAnsi"/>
          <w:b/>
          <w:bCs/>
        </w:rPr>
        <w:t>(MIX IMAGE)</w:t>
      </w:r>
    </w:p>
    <w:p w14:paraId="6D2006D9" w14:textId="77777777" w:rsidR="00830F5A" w:rsidRDefault="00830F5A" w:rsidP="00830F5A">
      <w:pPr>
        <w:rPr>
          <w:b/>
          <w:bCs/>
        </w:rPr>
      </w:pPr>
    </w:p>
    <w:p w14:paraId="00B3B5D0" w14:textId="4EF4FF2F" w:rsidR="00830F5A" w:rsidRDefault="00830F5A" w:rsidP="00830F5A">
      <w:r w:rsidRPr="05BE835C">
        <w:rPr>
          <w:b/>
          <w:bCs/>
        </w:rPr>
        <w:t>Seed mix name:</w:t>
      </w:r>
      <w:r>
        <w:t xml:space="preserve"> </w:t>
      </w:r>
      <w:r w:rsidR="10C709AF">
        <w:t xml:space="preserve">Mid Diversity </w:t>
      </w:r>
      <w:r w:rsidR="002061A0">
        <w:t xml:space="preserve">Solar Array </w:t>
      </w:r>
      <w:r w:rsidR="1871D149">
        <w:t xml:space="preserve">Mesic Soil </w:t>
      </w:r>
      <w:r w:rsidR="002061A0">
        <w:t>South and West</w:t>
      </w:r>
      <w:r w:rsidR="3EB8FECC">
        <w:t xml:space="preserve"> 39-241</w:t>
      </w:r>
    </w:p>
    <w:p w14:paraId="09528D29" w14:textId="59100802" w:rsidR="00830F5A" w:rsidRDefault="00830F5A" w:rsidP="00830F5A">
      <w:r>
        <w:rPr>
          <w:b/>
          <w:bCs/>
        </w:rPr>
        <w:t>Geographic area:</w:t>
      </w:r>
      <w:r>
        <w:t xml:space="preserve"> </w:t>
      </w:r>
      <w:r w:rsidR="00431A61">
        <w:t xml:space="preserve">Southern and Western </w:t>
      </w:r>
      <w:r>
        <w:t xml:space="preserve">Minnesota </w:t>
      </w:r>
    </w:p>
    <w:p w14:paraId="3EFE11E5" w14:textId="798CAEEB" w:rsidR="00830F5A" w:rsidRDefault="00830F5A" w:rsidP="00830F5A">
      <w:r>
        <w:rPr>
          <w:b/>
          <w:bCs/>
        </w:rPr>
        <w:t xml:space="preserve">Year of development: </w:t>
      </w:r>
      <w:r>
        <w:t>20</w:t>
      </w:r>
      <w:r w:rsidR="008F209F">
        <w:t>23</w:t>
      </w:r>
    </w:p>
    <w:p w14:paraId="340165C8" w14:textId="427649AB" w:rsidR="00830F5A" w:rsidRDefault="00830F5A" w:rsidP="00830F5A">
      <w:r>
        <w:rPr>
          <w:b/>
          <w:bCs/>
        </w:rPr>
        <w:t>Year/s of update:</w:t>
      </w:r>
      <w:r>
        <w:t xml:space="preserve">  202</w:t>
      </w:r>
      <w:r w:rsidR="008F209F">
        <w:t>3</w:t>
      </w:r>
    </w:p>
    <w:p w14:paraId="34AA74E3" w14:textId="77777777" w:rsidR="00830F5A" w:rsidRDefault="00830F5A" w:rsidP="00830F5A">
      <w:r>
        <w:rPr>
          <w:b/>
          <w:bCs/>
        </w:rPr>
        <w:t>Status</w:t>
      </w:r>
      <w:r>
        <w:t xml:space="preserve"> </w:t>
      </w:r>
      <w:r>
        <w:rPr>
          <w:b/>
          <w:bCs/>
        </w:rPr>
        <w:t>(</w:t>
      </w:r>
      <w:r>
        <w:rPr>
          <w:b/>
          <w:bCs/>
          <w:i/>
          <w:iCs/>
        </w:rPr>
        <w:t>Standard or Pilot mix</w:t>
      </w:r>
      <w:r>
        <w:rPr>
          <w:b/>
          <w:bCs/>
        </w:rPr>
        <w:t>):</w:t>
      </w:r>
      <w:r>
        <w:t xml:space="preserve"> Pilot</w:t>
      </w:r>
    </w:p>
    <w:p w14:paraId="0A52EA08" w14:textId="77777777" w:rsidR="00830F5A" w:rsidRDefault="00830F5A" w:rsidP="00830F5A">
      <w:pPr>
        <w:rPr>
          <w:b/>
          <w:bCs/>
        </w:rPr>
      </w:pPr>
      <w:r>
        <w:rPr>
          <w:b/>
          <w:bCs/>
        </w:rPr>
        <w:t xml:space="preserve">Primary and Secondary Functions: </w:t>
      </w:r>
    </w:p>
    <w:p w14:paraId="29E8E5E9" w14:textId="38871BF5" w:rsidR="00830F5A" w:rsidRDefault="00830F5A" w:rsidP="00830F5A">
      <w:r>
        <w:rPr>
          <w:rStyle w:val="IntenseEmphasis"/>
          <w:color w:val="2F5496" w:themeColor="accent1" w:themeShade="BF"/>
        </w:rPr>
        <w:t>Primary</w:t>
      </w:r>
      <w:r>
        <w:t xml:space="preserve"> –</w:t>
      </w:r>
      <w:r w:rsidR="0013359A">
        <w:t xml:space="preserve"> Establish habitat </w:t>
      </w:r>
      <w:r w:rsidR="00431A61">
        <w:t>under</w:t>
      </w:r>
      <w:r w:rsidR="0013359A">
        <w:t xml:space="preserve"> solar panels that provides </w:t>
      </w:r>
      <w:r>
        <w:t>habitat for pollinators and other invertebrates</w:t>
      </w:r>
      <w:r w:rsidR="0013359A">
        <w:t xml:space="preserve">, </w:t>
      </w:r>
      <w:r>
        <w:t>improve</w:t>
      </w:r>
      <w:r w:rsidR="0013359A">
        <w:t>s</w:t>
      </w:r>
      <w:r>
        <w:t xml:space="preserve"> habitat for beneficial soil organisms</w:t>
      </w:r>
      <w:r w:rsidR="0013359A">
        <w:t xml:space="preserve"> and provides cooling of solar </w:t>
      </w:r>
      <w:proofErr w:type="gramStart"/>
      <w:r w:rsidR="0013359A">
        <w:t>panels</w:t>
      </w:r>
      <w:proofErr w:type="gramEnd"/>
      <w:r>
        <w:t xml:space="preserve"> </w:t>
      </w:r>
    </w:p>
    <w:p w14:paraId="66C8ED8A" w14:textId="629475D8" w:rsidR="00830F5A" w:rsidRDefault="00830F5A" w:rsidP="00830F5A">
      <w:r>
        <w:rPr>
          <w:rStyle w:val="IntenseEmphasis"/>
          <w:color w:val="2F5496" w:themeColor="accent1" w:themeShade="BF"/>
        </w:rPr>
        <w:t>Secondary</w:t>
      </w:r>
      <w:r>
        <w:t xml:space="preserve"> – Carbon sequestration, </w:t>
      </w:r>
      <w:r w:rsidR="0013359A">
        <w:t xml:space="preserve">habitat for birds and other </w:t>
      </w:r>
      <w:r>
        <w:t xml:space="preserve">wildlife </w:t>
      </w:r>
    </w:p>
    <w:p w14:paraId="454DB56D" w14:textId="6F8AC160" w:rsidR="00830F5A" w:rsidRDefault="00830F5A" w:rsidP="05BE835C">
      <w:r w:rsidRPr="05BE835C">
        <w:rPr>
          <w:b/>
          <w:bCs/>
        </w:rPr>
        <w:t>Similar State Mixes:</w:t>
      </w:r>
      <w:r>
        <w:t xml:space="preserve"> </w:t>
      </w:r>
      <w:r w:rsidR="67956EEC" w:rsidRPr="05BE835C">
        <w:rPr>
          <w:rFonts w:eastAsia="Calibri"/>
          <w:color w:val="000000" w:themeColor="text1"/>
        </w:rPr>
        <w:t>39-641 Mid Diversity Solar Array Mesic Soil Northeast, 39-551 Mid Diversity Solar Array Moist Soil South and West, 29-221 Mid Diversity Solar Array Dry Soil South and West, 39-2</w:t>
      </w:r>
      <w:r w:rsidR="00553A9F">
        <w:rPr>
          <w:rFonts w:eastAsia="Calibri"/>
          <w:color w:val="000000" w:themeColor="text1"/>
        </w:rPr>
        <w:t>42</w:t>
      </w:r>
      <w:r w:rsidR="67956EEC" w:rsidRPr="05BE835C">
        <w:rPr>
          <w:rFonts w:eastAsia="Calibri"/>
          <w:color w:val="000000" w:themeColor="text1"/>
        </w:rPr>
        <w:t xml:space="preserve"> High Diversity Solar Array Mesic Soil South and West</w:t>
      </w:r>
    </w:p>
    <w:p w14:paraId="6DCBE036" w14:textId="77777777" w:rsidR="00510AF8" w:rsidRDefault="00510AF8" w:rsidP="00510AF8">
      <w:r>
        <w:rPr>
          <w:b/>
          <w:bCs/>
        </w:rPr>
        <w:t>Compatible NRCS Practice Standards:</w:t>
      </w:r>
      <w:r>
        <w:t xml:space="preserve"> Not designed to meet a </w:t>
      </w:r>
      <w:proofErr w:type="gramStart"/>
      <w:r>
        <w:t>standard</w:t>
      </w:r>
      <w:proofErr w:type="gramEnd"/>
    </w:p>
    <w:p w14:paraId="416579EB" w14:textId="77777777" w:rsidR="00510AF8" w:rsidRDefault="00510AF8" w:rsidP="00510AF8">
      <w:r>
        <w:rPr>
          <w:b/>
          <w:bCs/>
        </w:rPr>
        <w:t>Compatible Minnesota CRP Practices:</w:t>
      </w:r>
      <w:r>
        <w:t xml:space="preserve"> None</w:t>
      </w:r>
    </w:p>
    <w:p w14:paraId="6D03016A" w14:textId="77777777" w:rsidR="00510AF8" w:rsidRDefault="00510AF8" w:rsidP="00510AF8">
      <w:pPr>
        <w:spacing w:line="276" w:lineRule="auto"/>
        <w:rPr>
          <w:b/>
          <w:bCs/>
        </w:rPr>
      </w:pPr>
      <w:r>
        <w:rPr>
          <w:b/>
          <w:bCs/>
        </w:rPr>
        <w:t>Suitable Site Conditions</w:t>
      </w:r>
    </w:p>
    <w:p w14:paraId="275A1F91" w14:textId="77777777" w:rsidR="00510AF8" w:rsidRDefault="00510AF8" w:rsidP="00510AF8">
      <w:r>
        <w:t xml:space="preserve">Areas with mesic soils and full sun for at least 70% of the day where land is being converted from other uses such as lawn or agricultural fields like row crops or pasture.  </w:t>
      </w:r>
    </w:p>
    <w:p w14:paraId="4779D26B" w14:textId="77777777" w:rsidR="00510AF8" w:rsidRDefault="00510AF8" w:rsidP="00510AF8">
      <w:pPr>
        <w:spacing w:before="120" w:line="276" w:lineRule="auto"/>
        <w:rPr>
          <w:b/>
          <w:bCs/>
        </w:rPr>
      </w:pPr>
      <w:r>
        <w:rPr>
          <w:b/>
          <w:bCs/>
        </w:rPr>
        <w:t>Seed Mix Highlights</w:t>
      </w:r>
    </w:p>
    <w:p w14:paraId="278A3D6C" w14:textId="77777777" w:rsidR="00510AF8" w:rsidRDefault="00510AF8" w:rsidP="00510AF8">
      <w:pPr>
        <w:rPr>
          <w:bCs/>
        </w:rPr>
      </w:pPr>
      <w:r>
        <w:rPr>
          <w:bCs/>
        </w:rPr>
        <w:t>This mix has been designed for solar projects as a groundcover under panel as part of solar arrays to provide benefits to a wide range of wildlife species. The mix includes combinations of grasses, sedges, and forbs to provide year-round cover and forage to pollinators.</w:t>
      </w:r>
    </w:p>
    <w:p w14:paraId="7D6316F2" w14:textId="77777777" w:rsidR="00510AF8" w:rsidRDefault="00510AF8" w:rsidP="00510AF8">
      <w:pPr>
        <w:spacing w:before="120" w:line="276" w:lineRule="auto"/>
        <w:rPr>
          <w:b/>
          <w:bCs/>
        </w:rPr>
      </w:pPr>
      <w:r>
        <w:rPr>
          <w:b/>
          <w:bCs/>
        </w:rPr>
        <w:t>How to Customize the Mix for Unique Site Conditions and Goals</w:t>
      </w:r>
    </w:p>
    <w:p w14:paraId="5D744364" w14:textId="77777777" w:rsidR="00510AF8" w:rsidRDefault="00510AF8" w:rsidP="00510AF8">
      <w:r>
        <w:t xml:space="preserve">Site conditions such as sunlight, soils, hydrology, and existing vegetation along with functional goals for the project such as pollinator habitat, carbon sequestration, and benefit to grassland bird species can all inform species selection and the modification of seed mixes. See the Additional Species List, which can be used to increase diversity. Use the </w:t>
      </w:r>
      <w:hyperlink r:id="rId14" w:history="1">
        <w:r>
          <w:rPr>
            <w:rStyle w:val="Hyperlink"/>
          </w:rPr>
          <w:t>BWSR Seed Mix Substitution Table</w:t>
        </w:r>
      </w:hyperlink>
      <w:r>
        <w:t xml:space="preserve"> when species are not available from vendors, or the landowner has alternative goals for the site.</w:t>
      </w:r>
    </w:p>
    <w:p w14:paraId="504A285F" w14:textId="77777777" w:rsidR="00510AF8" w:rsidRDefault="00510AF8" w:rsidP="00510AF8">
      <w:pPr>
        <w:pStyle w:val="Default"/>
        <w:spacing w:before="120" w:line="276" w:lineRule="auto"/>
        <w:rPr>
          <w:b/>
          <w:bCs/>
          <w:sz w:val="22"/>
          <w:szCs w:val="22"/>
        </w:rPr>
      </w:pPr>
      <w:r>
        <w:rPr>
          <w:b/>
          <w:bCs/>
          <w:sz w:val="22"/>
          <w:szCs w:val="22"/>
        </w:rPr>
        <w:t>Site Preparation</w:t>
      </w:r>
    </w:p>
    <w:p w14:paraId="47FBA492" w14:textId="77777777" w:rsidR="00510AF8" w:rsidRDefault="00510AF8" w:rsidP="00510AF8">
      <w:pPr>
        <w:pStyle w:val="Default"/>
        <w:rPr>
          <w:sz w:val="22"/>
          <w:szCs w:val="22"/>
        </w:rPr>
      </w:pPr>
      <w:r>
        <w:rPr>
          <w:sz w:val="22"/>
          <w:szCs w:val="22"/>
        </w:rPr>
        <w:t xml:space="preserve">The primary goal of site preparation is to provide growing conditions that are good for native seed or plant establishment. Preparation methods may vary depending on site conditions. For example, sites with introduced perennial grasses such as smooth brome grass require different suppression techniques than sites that have been farmed with row crops. Site specific conditions should be considered when selecting site preparation techniques: current vegetation, potential desirable and undesirable species in the seed bank, previous pesticide use on site, and potential for soil erosion. Annual cover crops or row crops can be used in preparation for a native planting if they are not grown with persistent pesticides such as neonicotinoids or other long-lasting chemicals that may negatively impact pollinators or native vegetation establishment. For example, following soybean harvest, an un-tilled soybean field provides a good seedbed with potentially little plant residue for planting native prairie mixes. However, the chemical program used to grow soybeans could include herbicides that have a lengthy herbicide carryover. Make sure to research which chemicals were used in crop production to determine if there is a rotation restriction prior to planting.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5" w:history="1">
        <w:r>
          <w:rPr>
            <w:rStyle w:val="Hyperlink"/>
            <w:sz w:val="22"/>
            <w:szCs w:val="22"/>
          </w:rPr>
          <w:t>Organic Site Preparation for Wildflower Establishment</w:t>
        </w:r>
      </w:hyperlink>
      <w:r>
        <w:rPr>
          <w:sz w:val="22"/>
          <w:szCs w:val="22"/>
        </w:rPr>
        <w:t xml:space="preserve">. </w:t>
      </w:r>
    </w:p>
    <w:p w14:paraId="1BE549A3" w14:textId="77777777" w:rsidR="00510AF8" w:rsidRDefault="00510AF8" w:rsidP="00510AF8">
      <w:pPr>
        <w:autoSpaceDE w:val="0"/>
        <w:autoSpaceDN w:val="0"/>
        <w:adjustRightInd w:val="0"/>
        <w:spacing w:before="120"/>
        <w:rPr>
          <w:rFonts w:asciiTheme="minorHAnsi" w:hAnsiTheme="minorHAnsi" w:cstheme="minorHAnsi"/>
          <w:color w:val="000000"/>
        </w:rPr>
      </w:pPr>
      <w:r>
        <w:rPr>
          <w:rFonts w:asciiTheme="minorHAnsi" w:hAnsiTheme="minorHAnsi" w:cstheme="minorHAnsi"/>
          <w:b/>
          <w:bCs/>
          <w:i/>
          <w:iCs/>
          <w:color w:val="000000"/>
        </w:rPr>
        <w:t xml:space="preserve">Temporary Cover Crops </w:t>
      </w:r>
    </w:p>
    <w:p w14:paraId="4646A876" w14:textId="77777777" w:rsidR="00510AF8" w:rsidRDefault="00510AF8" w:rsidP="00510AF8">
      <w:r>
        <w:rPr>
          <w:color w:val="000000"/>
        </w:rPr>
        <w:t xml:space="preserve">Short-lived temporary cover crops help stabilize soils in preparation for planting native seed mixes. This option can stabilize soil, and limit compaction and control weed pressure before installing permanent seed mixes. Cover crops such as oats (commonly used) should be mowed to 4-6 inches before seeds mature (or harvested upon maturity) to prevent re-seeding. </w:t>
      </w:r>
      <w:r w:rsidRPr="00BC3AD5">
        <w:rPr>
          <w:color w:val="000000"/>
        </w:rPr>
        <w:t>Residue</w:t>
      </w:r>
      <w:r>
        <w:rPr>
          <w:color w:val="000000"/>
        </w:rPr>
        <w:t xml:space="preserve"> from temporary cover crops should be minimized prior to seeding to increase seed to soil contact. It is common to seed into cover crop stubble as part of a fall dormant seeding.</w:t>
      </w:r>
    </w:p>
    <w:p w14:paraId="1FB9A431" w14:textId="77777777" w:rsidR="00510AF8" w:rsidRDefault="00510AF8" w:rsidP="00510AF8">
      <w:pPr>
        <w:spacing w:before="120"/>
        <w:rPr>
          <w:b/>
          <w:bCs/>
        </w:rPr>
      </w:pPr>
      <w:r>
        <w:rPr>
          <w:b/>
          <w:bCs/>
        </w:rPr>
        <w:t xml:space="preserve">Seedbed preparation </w:t>
      </w:r>
    </w:p>
    <w:p w14:paraId="2FDC9FCD" w14:textId="77777777" w:rsidR="00510AF8" w:rsidRDefault="00510AF8" w:rsidP="00510AF8">
      <w:pPr>
        <w:pStyle w:val="Default"/>
        <w:rPr>
          <w:sz w:val="22"/>
          <w:szCs w:val="22"/>
        </w:rPr>
      </w:pPr>
      <w:r>
        <w:rPr>
          <w:sz w:val="22"/>
          <w:szCs w:val="22"/>
        </w:rPr>
        <w:t xml:space="preserve">Methods used to prepare seedbeds vary depending on the type of seeding equipment used. If a traditional native seed drill will be used, a smooth, firm seedbed is required. Soybean fields usually are sufficiently prepared for a native seed drill. Sites that were recently tilled will require additional soil treatment such as light disking, field cultivation, harrowing and rolling to prepare a firm seedbed and prevent seed from being buried too deep. Native seeds have difficulty germinating if they are buried more than ¼” deep. Broadcast seeding can be done on any crop field. Fields that have been disked, should be </w:t>
      </w:r>
      <w:proofErr w:type="spellStart"/>
      <w:r>
        <w:rPr>
          <w:sz w:val="22"/>
          <w:szCs w:val="22"/>
        </w:rPr>
        <w:t>cultipacked</w:t>
      </w:r>
      <w:proofErr w:type="spellEnd"/>
      <w:r>
        <w:rPr>
          <w:sz w:val="22"/>
          <w:szCs w:val="22"/>
        </w:rPr>
        <w:t xml:space="preserve"> or allowed to settle before seeding. </w:t>
      </w:r>
    </w:p>
    <w:p w14:paraId="3DEB578F" w14:textId="77777777" w:rsidR="00510AF8" w:rsidRDefault="00510AF8" w:rsidP="00510AF8">
      <w:pPr>
        <w:pStyle w:val="Default"/>
      </w:pPr>
    </w:p>
    <w:p w14:paraId="088AEBDC" w14:textId="77777777" w:rsidR="00510AF8" w:rsidRDefault="00510AF8" w:rsidP="00510AF8">
      <w:pPr>
        <w:spacing w:before="120"/>
        <w:rPr>
          <w:b/>
          <w:bCs/>
        </w:rPr>
      </w:pPr>
      <w:r>
        <w:rPr>
          <w:b/>
          <w:bCs/>
        </w:rPr>
        <w:t>Seeding Methods</w:t>
      </w:r>
    </w:p>
    <w:p w14:paraId="54870168" w14:textId="6B75AB52" w:rsidR="00510AF8" w:rsidRDefault="00510AF8" w:rsidP="00510AF8">
      <w:r>
        <w:t xml:space="preserve">A variety of seeding equipment is used for upland </w:t>
      </w:r>
      <w:r w:rsidRPr="00BC3AD5">
        <w:t xml:space="preserve">native solar mixes </w:t>
      </w:r>
      <w:r>
        <w:t xml:space="preserve">including broadcast seeders, no-till native seed drills, Brillion seeders and Trillion seeders. Specialized native seed drills can handle a wide variety of seed (fluffy, smooth, </w:t>
      </w:r>
      <w:proofErr w:type="gramStart"/>
      <w:r>
        <w:t>large</w:t>
      </w:r>
      <w:proofErr w:type="gramEnd"/>
      <w:r>
        <w:t xml:space="preserve"> and small) and low seeding rates. Conventional grain drills are not capable of handling diverse seed sizes and are not recommended. Broadcast seeding is common for planting high or mid-diversity mixes. Broadcast seeding equipment should be used that is designed to spread mixes with different sized seeds (</w:t>
      </w:r>
      <w:r w:rsidR="00D9597D">
        <w:t>e.g.,</w:t>
      </w:r>
      <w:r>
        <w:t xml:space="preserve"> Vicon Seeders). For solar projects it is common to use either a drill or broadcast seeder between panels and broadcast seeding under and around panels.</w:t>
      </w:r>
    </w:p>
    <w:p w14:paraId="5A4DCC3F" w14:textId="77777777" w:rsidR="00510AF8" w:rsidRDefault="00510AF8" w:rsidP="00510AF8"/>
    <w:p w14:paraId="75A16214" w14:textId="77777777" w:rsidR="00510AF8" w:rsidRDefault="00510AF8" w:rsidP="00510AF8">
      <w:pPr>
        <w:spacing w:before="120" w:line="276" w:lineRule="auto"/>
        <w:rPr>
          <w:b/>
          <w:bCs/>
        </w:rPr>
      </w:pPr>
      <w:r>
        <w:rPr>
          <w:b/>
          <w:bCs/>
        </w:rPr>
        <w:t xml:space="preserve">Seeding Dates </w:t>
      </w:r>
    </w:p>
    <w:p w14:paraId="4B3C8743" w14:textId="77777777" w:rsidR="00510AF8" w:rsidRDefault="00510AF8" w:rsidP="00510AF8">
      <w:pPr>
        <w:rPr>
          <w:color w:val="000000"/>
        </w:rPr>
      </w:pPr>
      <w:r>
        <w:rPr>
          <w:color w:val="000000"/>
        </w:rPr>
        <w:t xml:space="preserve">Forb-dominated solar high and mid-diversity seed mixes, including this mix, can be installed in the spring or fall. Fall dormant plantings are preferred and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are consistently below 50 degrees Fahrenheit (usually around October 15 in the northern half of the state and November 1 in the southern half of the state). Fall dormant seedings reduce weed pressure during the first year of growth because native cool-season grasses and forbs germinate earlier and compete with weed species right away. Frost seedings are also an option if the snow cover is shallow, ice-free, and winds are calm. For a frost seeding, seeding rates may need to be increased by 25-50 percent due to lower germination rates and loss of seed consumed by wildlife. </w:t>
      </w:r>
    </w:p>
    <w:p w14:paraId="6C1DE1B0" w14:textId="77777777" w:rsidR="00510AF8" w:rsidRDefault="00510AF8" w:rsidP="00510AF8">
      <w:pPr>
        <w:spacing w:before="120"/>
        <w:rPr>
          <w:b/>
          <w:bCs/>
        </w:rPr>
      </w:pPr>
    </w:p>
    <w:p w14:paraId="516820A9" w14:textId="77777777" w:rsidR="00510AF8" w:rsidRDefault="00510AF8" w:rsidP="00510AF8">
      <w:pPr>
        <w:spacing w:before="120"/>
        <w:rPr>
          <w:b/>
          <w:bCs/>
        </w:rPr>
      </w:pPr>
    </w:p>
    <w:p w14:paraId="22B9D9D3" w14:textId="77777777" w:rsidR="00510AF8" w:rsidRDefault="00510AF8" w:rsidP="00510AF8">
      <w:pPr>
        <w:spacing w:before="120"/>
        <w:rPr>
          <w:b/>
          <w:bCs/>
        </w:rPr>
      </w:pPr>
    </w:p>
    <w:p w14:paraId="4EE632BE" w14:textId="77777777" w:rsidR="00510AF8" w:rsidRDefault="00510AF8" w:rsidP="00510AF8">
      <w:pPr>
        <w:spacing w:before="120"/>
        <w:rPr>
          <w:b/>
          <w:bCs/>
        </w:rPr>
      </w:pPr>
      <w:r>
        <w:rPr>
          <w:b/>
          <w:bCs/>
        </w:rPr>
        <w:t xml:space="preserve">Management Methods </w:t>
      </w:r>
    </w:p>
    <w:p w14:paraId="70357A9D" w14:textId="2A4A24BF" w:rsidR="00510AF8" w:rsidRDefault="00510AF8" w:rsidP="00510AF8">
      <w:pPr>
        <w:spacing w:before="120"/>
        <w:rPr>
          <w:rFonts w:asciiTheme="minorHAnsi" w:hAnsiTheme="minorHAnsi" w:cstheme="minorHAnsi"/>
          <w:i/>
          <w:iCs/>
          <w:color w:val="2F5496" w:themeColor="accent1" w:themeShade="BF"/>
          <w:sz w:val="23"/>
          <w:szCs w:val="23"/>
        </w:rPr>
      </w:pPr>
      <w:r>
        <w:rPr>
          <w:rFonts w:asciiTheme="minorHAnsi" w:hAnsiTheme="minorHAnsi" w:cstheme="minorHAnsi"/>
          <w:i/>
          <w:iCs/>
          <w:color w:val="2F5496" w:themeColor="accent1" w:themeShade="BF"/>
          <w:sz w:val="23"/>
          <w:szCs w:val="23"/>
        </w:rPr>
        <w:t>Establishment Mowing and Grazing</w:t>
      </w:r>
      <w:r>
        <w:rPr>
          <w:rFonts w:asciiTheme="minorHAnsi" w:hAnsiTheme="minorHAnsi" w:cstheme="minorHAnsi"/>
          <w:i/>
          <w:iCs/>
          <w:sz w:val="23"/>
          <w:szCs w:val="23"/>
        </w:rPr>
        <w:t>–</w:t>
      </w:r>
      <w:r>
        <w:rPr>
          <w:rFonts w:asciiTheme="minorHAnsi" w:hAnsiTheme="minorHAnsi" w:cstheme="minorHAnsi"/>
          <w:i/>
          <w:iCs/>
          <w:color w:val="2F5496" w:themeColor="accent1" w:themeShade="BF"/>
          <w:sz w:val="23"/>
          <w:szCs w:val="23"/>
        </w:rPr>
        <w:t xml:space="preserve"> </w:t>
      </w:r>
      <w:r>
        <w:t xml:space="preserve">Mowing or grazing can be an important step during the establishment of native seed mixes (first three to five years). The </w:t>
      </w:r>
      <w:bookmarkStart w:id="1" w:name="_Hlk130807161"/>
      <w:r>
        <w:t>frequency and duration of mowing will vary depending on the local climate and weed pressure at the site</w:t>
      </w:r>
      <w:bookmarkEnd w:id="1"/>
      <w:r>
        <w:t xml:space="preserve">. Expect to mow or graze at least twice during the first season and once during the second season to decrease weed competition and to provide sufficient sunlight for seedlings. Mowing or grazing should be conducted before weeds mature and seed out. It is important that mowed vegetation does not smother the planting; therefore, very productive sites may need to be mowed more often in the first year to reduce the mulching effect. Flail mowers are preferred because they cut the vegetation into smaller pieces and doesn’t leave a thick layer of thatch. Vegetation should be mowed or grazed to between four and six inches before seed is allowed to set (usually as weeds reach knee-height or 12-18 inches). Mower height should be raised as native plants establish, to avoid cutting buds or flowers. Mowing or grazing new plantings too short can reduce beneficial outcomes of a successful planting. Some grassland managers see native planting establishment success without mowing, but this varies depending on site conditions (such as soil productivity) and weed pressure. </w:t>
      </w:r>
      <w:bookmarkStart w:id="2" w:name="_Hlk130806693"/>
      <w:r>
        <w:t xml:space="preserve">If mowing large sections of the planting, consider waiting until after July 15 to protect game and songbird nesting habitat. Mowing after October 1 assists Monarch butterflies by maintaining flower resources as they migrate </w:t>
      </w:r>
      <w:bookmarkEnd w:id="2"/>
      <w:r w:rsidR="00553A9F">
        <w:t>south.</w:t>
      </w:r>
    </w:p>
    <w:p w14:paraId="4EADBFD6" w14:textId="77777777" w:rsidR="00510AF8" w:rsidRDefault="00510AF8" w:rsidP="00510AF8">
      <w:pPr>
        <w:pStyle w:val="Default"/>
        <w:spacing w:before="120"/>
        <w:rPr>
          <w:rFonts w:asciiTheme="minorHAnsi" w:hAnsiTheme="minorHAnsi" w:cstheme="minorHAnsi"/>
          <w:color w:val="2F5496" w:themeColor="accent1" w:themeShade="BF"/>
          <w:sz w:val="23"/>
          <w:szCs w:val="23"/>
        </w:rPr>
      </w:pPr>
      <w:r>
        <w:rPr>
          <w:rFonts w:asciiTheme="minorHAnsi" w:hAnsiTheme="minorHAnsi" w:cstheme="minorHAnsi"/>
          <w:i/>
          <w:iCs/>
          <w:color w:val="2F5496" w:themeColor="accent1" w:themeShade="BF"/>
          <w:sz w:val="23"/>
          <w:szCs w:val="23"/>
        </w:rPr>
        <w:t xml:space="preserve">Spot Mowing </w:t>
      </w:r>
      <w:r>
        <w:rPr>
          <w:rFonts w:asciiTheme="minorHAnsi" w:hAnsiTheme="minorHAnsi" w:cstheme="minorHAnsi"/>
          <w:i/>
          <w:iCs/>
          <w:color w:val="auto"/>
          <w:sz w:val="23"/>
          <w:szCs w:val="23"/>
        </w:rPr>
        <w:t>–</w:t>
      </w:r>
      <w:r>
        <w:rPr>
          <w:rFonts w:asciiTheme="minorHAnsi" w:hAnsiTheme="minorHAnsi" w:cstheme="minorHAnsi"/>
          <w:i/>
          <w:iCs/>
          <w:color w:val="2F5496" w:themeColor="accent1" w:themeShade="BF"/>
          <w:sz w:val="23"/>
          <w:szCs w:val="23"/>
        </w:rPr>
        <w:t xml:space="preserve"> </w:t>
      </w:r>
      <w:r w:rsidRPr="00553A9F">
        <w:rPr>
          <w:sz w:val="22"/>
          <w:szCs w:val="22"/>
        </w:rPr>
        <w:t xml:space="preserve">As the native planting is establishing, it may be beneficial to spot mow or weed trim areas with invasive or noxious plants. Spot-mowing should be done at a raised height between 4-6 inches to target invasive plants and to avoid damaging nearby native species. Spot mowing to minimize the abundance and frequency of invasive or noxious weeds can be done every year to increase diversity and functionality of the planting. A list of noxious/invasive weed species that should be addressed can be viewed at the </w:t>
      </w:r>
      <w:hyperlink r:id="rId16" w:anchor=":~:text=State%20Prohibited%20Noxious%20Weeds%20%20%20%20,%20%202012%20%2012%20more%20rows%20" w:history="1">
        <w:r w:rsidRPr="00553A9F">
          <w:rPr>
            <w:rStyle w:val="Hyperlink"/>
            <w:sz w:val="22"/>
            <w:szCs w:val="22"/>
          </w:rPr>
          <w:t>Minnesota Department of Agriculture’s website</w:t>
        </w:r>
      </w:hyperlink>
      <w:r w:rsidRPr="00553A9F">
        <w:rPr>
          <w:sz w:val="22"/>
          <w:szCs w:val="22"/>
        </w:rPr>
        <w:t xml:space="preserve">. </w:t>
      </w:r>
    </w:p>
    <w:p w14:paraId="7AA556AC" w14:textId="6A5A649B" w:rsidR="00510AF8" w:rsidRDefault="00510AF8" w:rsidP="00510AF8">
      <w:pPr>
        <w:pStyle w:val="Default"/>
        <w:spacing w:before="120"/>
        <w:rPr>
          <w:rFonts w:cstheme="minorHAnsi"/>
          <w:color w:val="212121"/>
          <w:sz w:val="22"/>
          <w:szCs w:val="22"/>
          <w:shd w:val="clear" w:color="auto" w:fill="FFFFFF"/>
        </w:rPr>
      </w:pPr>
      <w:r w:rsidRPr="14F428D6">
        <w:rPr>
          <w:rFonts w:asciiTheme="minorHAnsi" w:hAnsiTheme="minorHAnsi" w:cstheme="minorBidi"/>
          <w:i/>
          <w:iCs/>
          <w:color w:val="2F5496" w:themeColor="accent1" w:themeShade="BF"/>
          <w:sz w:val="23"/>
          <w:szCs w:val="23"/>
        </w:rPr>
        <w:t xml:space="preserve">Spot Management of Weeds </w:t>
      </w:r>
      <w:r w:rsidRPr="14F428D6">
        <w:rPr>
          <w:rFonts w:asciiTheme="minorHAnsi" w:hAnsiTheme="minorHAnsi" w:cstheme="minorBidi"/>
          <w:color w:val="auto"/>
          <w:sz w:val="23"/>
          <w:szCs w:val="23"/>
        </w:rPr>
        <w:t xml:space="preserve">– </w:t>
      </w:r>
      <w:bookmarkStart w:id="3" w:name="_Hlk130810319"/>
      <w:r>
        <w:rPr>
          <w:sz w:val="22"/>
          <w:szCs w:val="22"/>
        </w:rPr>
        <w:t xml:space="preserve">Some persistent perennial weeds may require digging, pulling, girdling, smothering or spot treatment with herbicides for sufficient control. Some persistent perennial plants </w:t>
      </w:r>
      <w:r w:rsidR="00553A9F">
        <w:rPr>
          <w:sz w:val="22"/>
          <w:szCs w:val="22"/>
        </w:rPr>
        <w:t>include</w:t>
      </w:r>
      <w:r>
        <w:rPr>
          <w:sz w:val="22"/>
          <w:szCs w:val="22"/>
        </w:rPr>
        <w:t xml:space="preserve"> reed canary grass, smooth brome, quack grass, purple loosestrife, Canada thistle, Kentucky bluegrass, crown vetch, birds-foot trefoil, and woody species, such as box elder, common buckthorn, Siberian elm, and Tartarian honeysuckle. Methods should be conducted carefully during the early establishment phase, to avoid adverse impacts to native plant seedlings. Herbicides should only be used on persistent perennial weeds; most other weeds will be excluded or occur in low frequencies and abundance over time as the native planting matures. </w:t>
      </w:r>
      <w:r w:rsidRPr="14F428D6">
        <w:rPr>
          <w:rFonts w:cstheme="minorBidi"/>
          <w:color w:val="212121"/>
          <w:sz w:val="22"/>
          <w:szCs w:val="22"/>
          <w:shd w:val="clear" w:color="auto" w:fill="FFFFFF"/>
        </w:rPr>
        <w:t xml:space="preserve">Herbicide use should be species specific, sprayed in a discriminating and targeted way (minimizing non-target organisms), and applied according to rates specified on the label. </w:t>
      </w:r>
      <w:r w:rsidRPr="00C62524">
        <w:t xml:space="preserve">A licensed applicator </w:t>
      </w:r>
      <w:r>
        <w:t>may be needed</w:t>
      </w:r>
      <w:r w:rsidRPr="00C62524">
        <w:t xml:space="preserve"> to apply herbicide</w:t>
      </w:r>
      <w:r>
        <w:t>(s)</w:t>
      </w:r>
      <w:r w:rsidRPr="00C62524">
        <w:t>.</w:t>
      </w:r>
      <w:r>
        <w:t xml:space="preserve"> </w:t>
      </w:r>
      <w:r w:rsidRPr="14F428D6">
        <w:rPr>
          <w:rFonts w:cstheme="minorBidi"/>
          <w:color w:val="212121"/>
          <w:sz w:val="22"/>
          <w:szCs w:val="22"/>
          <w:shd w:val="clear" w:color="auto" w:fill="FFFFFF"/>
        </w:rPr>
        <w:t>All pesticides should be selected and applied in a manner that minimizes risks to human health, beneficial and non</w:t>
      </w:r>
      <w:r>
        <w:rPr>
          <w:rFonts w:cstheme="minorBidi"/>
          <w:color w:val="212121"/>
          <w:sz w:val="22"/>
          <w:szCs w:val="22"/>
          <w:shd w:val="clear" w:color="auto" w:fill="FFFFFF"/>
        </w:rPr>
        <w:t>-</w:t>
      </w:r>
      <w:r w:rsidRPr="14F428D6">
        <w:rPr>
          <w:rFonts w:cstheme="minorBidi"/>
          <w:color w:val="212121"/>
          <w:sz w:val="22"/>
          <w:szCs w:val="22"/>
          <w:shd w:val="clear" w:color="auto" w:fill="FFFFFF"/>
        </w:rPr>
        <w:t>target organisms, and the environment.</w:t>
      </w:r>
      <w:r w:rsidRPr="00E36E17">
        <w:t xml:space="preserve"> </w:t>
      </w:r>
      <w:r w:rsidRPr="00C62524">
        <w:t>Plantings that include both grasses and forbs s</w:t>
      </w:r>
      <w:r>
        <w:t xml:space="preserve">hould never be broadcast-sprayed. </w:t>
      </w:r>
      <w:r w:rsidRPr="14F428D6">
        <w:rPr>
          <w:rFonts w:cstheme="minorBidi"/>
          <w:color w:val="212121"/>
          <w:sz w:val="22"/>
          <w:szCs w:val="22"/>
          <w:shd w:val="clear" w:color="auto" w:fill="FFFFFF"/>
        </w:rPr>
        <w:t xml:space="preserve"> </w:t>
      </w:r>
      <w:r w:rsidRPr="14F428D6">
        <w:rPr>
          <w:color w:val="000000" w:themeColor="text1"/>
          <w:sz w:val="22"/>
          <w:szCs w:val="22"/>
        </w:rPr>
        <w:t>Mini</w:t>
      </w:r>
      <w:r>
        <w:rPr>
          <w:color w:val="000000" w:themeColor="text1"/>
          <w:sz w:val="22"/>
          <w:szCs w:val="22"/>
        </w:rPr>
        <w:t>mal</w:t>
      </w:r>
      <w:r w:rsidRPr="14F428D6">
        <w:rPr>
          <w:color w:val="000000" w:themeColor="text1"/>
          <w:sz w:val="22"/>
          <w:szCs w:val="22"/>
        </w:rPr>
        <w:t xml:space="preserve"> herbicide</w:t>
      </w:r>
      <w:r>
        <w:rPr>
          <w:color w:val="000000" w:themeColor="text1"/>
          <w:sz w:val="22"/>
          <w:szCs w:val="22"/>
        </w:rPr>
        <w:t xml:space="preserve"> use is recommended the first year of planting. Targeted spot Spraying can begin in</w:t>
      </w:r>
      <w:r w:rsidRPr="14F428D6">
        <w:rPr>
          <w:color w:val="000000" w:themeColor="text1"/>
          <w:sz w:val="22"/>
          <w:szCs w:val="22"/>
        </w:rPr>
        <w:t xml:space="preserve"> year </w:t>
      </w:r>
      <w:r w:rsidR="00D9597D" w:rsidRPr="14F428D6">
        <w:rPr>
          <w:color w:val="000000" w:themeColor="text1"/>
          <w:sz w:val="22"/>
          <w:szCs w:val="22"/>
        </w:rPr>
        <w:t>2</w:t>
      </w:r>
      <w:r w:rsidR="00D9597D">
        <w:rPr>
          <w:color w:val="000000" w:themeColor="text1"/>
          <w:sz w:val="22"/>
          <w:szCs w:val="22"/>
        </w:rPr>
        <w:t xml:space="preserve"> unless</w:t>
      </w:r>
      <w:r w:rsidRPr="14F428D6">
        <w:rPr>
          <w:color w:val="000000" w:themeColor="text1"/>
          <w:sz w:val="22"/>
          <w:szCs w:val="22"/>
        </w:rPr>
        <w:t xml:space="preserve"> significant problem weeds show up.</w:t>
      </w:r>
      <w:r>
        <w:rPr>
          <w:rFonts w:cstheme="minorHAnsi"/>
          <w:color w:val="212121"/>
          <w:sz w:val="22"/>
          <w:szCs w:val="22"/>
          <w:shd w:val="clear" w:color="auto" w:fill="FFFFFF"/>
        </w:rPr>
        <w:softHyphen/>
      </w:r>
      <w:r>
        <w:rPr>
          <w:rFonts w:cstheme="minorHAnsi"/>
          <w:color w:val="212121"/>
          <w:sz w:val="22"/>
          <w:szCs w:val="22"/>
          <w:shd w:val="clear" w:color="auto" w:fill="FFFFFF"/>
        </w:rPr>
        <w:softHyphen/>
      </w:r>
      <w:r>
        <w:rPr>
          <w:rFonts w:cstheme="minorHAnsi"/>
          <w:color w:val="212121"/>
          <w:sz w:val="22"/>
          <w:szCs w:val="22"/>
          <w:shd w:val="clear" w:color="auto" w:fill="FFFFFF"/>
        </w:rPr>
        <w:softHyphen/>
      </w:r>
      <w:bookmarkEnd w:id="3"/>
    </w:p>
    <w:p w14:paraId="33FAEDD6" w14:textId="77777777" w:rsidR="00510AF8" w:rsidRDefault="00510AF8" w:rsidP="00510AF8">
      <w:pPr>
        <w:pStyle w:val="Default"/>
        <w:spacing w:before="120"/>
        <w:rPr>
          <w:rFonts w:cstheme="minorHAnsi"/>
          <w:color w:val="212121"/>
          <w:sz w:val="22"/>
          <w:szCs w:val="22"/>
          <w:shd w:val="clear" w:color="auto" w:fill="FFFFFF"/>
        </w:rPr>
      </w:pPr>
    </w:p>
    <w:p w14:paraId="3C82ED34" w14:textId="77777777" w:rsidR="00510AF8" w:rsidRPr="00C62524" w:rsidRDefault="0007505E" w:rsidP="00510AF8">
      <w:pPr>
        <w:rPr>
          <w:szCs w:val="24"/>
        </w:rPr>
      </w:pPr>
      <w:hyperlink r:id="rId17" w:history="1">
        <w:r w:rsidR="00510AF8" w:rsidRPr="007E1F7C">
          <w:rPr>
            <w:rStyle w:val="Hyperlink"/>
            <w:szCs w:val="24"/>
          </w:rPr>
          <w:t>The Midwest Invasive Plant Control Database</w:t>
        </w:r>
      </w:hyperlink>
      <w:r w:rsidR="00510AF8" w:rsidRPr="00C62524">
        <w:t xml:space="preserve"> provides a compilation of control methods for many common invasive plants.</w:t>
      </w:r>
      <w:r w:rsidR="00510AF8">
        <w:t xml:space="preserve"> Some noxious or invasive weeds do not respond well to spraying so managers are encouraged to consider the method that will do the least amount of harm to overall planting health.</w:t>
      </w:r>
      <w:r w:rsidR="00510AF8" w:rsidRPr="003A24B1">
        <w:rPr>
          <w:color w:val="000000" w:themeColor="text1"/>
        </w:rPr>
        <w:t xml:space="preserve"> </w:t>
      </w:r>
    </w:p>
    <w:p w14:paraId="05D2C227" w14:textId="77777777" w:rsidR="00510AF8" w:rsidRDefault="00510AF8" w:rsidP="00510AF8">
      <w:r>
        <w:t>T</w:t>
      </w:r>
      <w:r w:rsidRPr="00C62524">
        <w:t xml:space="preserve">o prevent inadvertent </w:t>
      </w:r>
      <w:r>
        <w:t xml:space="preserve">aerial </w:t>
      </w:r>
      <w:r w:rsidRPr="00C62524">
        <w:t>spraying of the prairie, it may be advantageous to be placed o</w:t>
      </w:r>
      <w:r>
        <w:t xml:space="preserve">n the do not spray list at the local farm co-op. </w:t>
      </w:r>
      <w:r w:rsidRPr="00C62524">
        <w:t>This will help prevent d</w:t>
      </w:r>
      <w:r>
        <w:t>amage to your prairie planting.</w:t>
      </w:r>
    </w:p>
    <w:p w14:paraId="016F18FB" w14:textId="77777777" w:rsidR="00510AF8" w:rsidRDefault="00510AF8" w:rsidP="00510AF8"/>
    <w:p w14:paraId="1E1DFB40" w14:textId="77777777" w:rsidR="00510AF8" w:rsidRDefault="00510AF8" w:rsidP="00510AF8">
      <w:pPr>
        <w:spacing w:before="120"/>
        <w:rPr>
          <w:b/>
          <w:bCs/>
        </w:rPr>
      </w:pPr>
      <w:r>
        <w:rPr>
          <w:b/>
          <w:bCs/>
        </w:rPr>
        <w:t>What to Expect in Year 1</w:t>
      </w:r>
    </w:p>
    <w:p w14:paraId="7F3C8437" w14:textId="77777777" w:rsidR="00510AF8" w:rsidRDefault="00510AF8" w:rsidP="00510AF8">
      <w:r>
        <w:t xml:space="preserve">During the first year of establishment, many perennial native grasses, </w:t>
      </w:r>
      <w:proofErr w:type="gramStart"/>
      <w:r>
        <w:t>sedges</w:t>
      </w:r>
      <w:proofErr w:type="gramEnd"/>
      <w:r>
        <w:t xml:space="preserve"> and flowers will remain about one to three inches tall depending on site conditions. Most of their growth occurs below ground as they develop extensive root systems. Annual species will flower and grow to maturity. Mowing annual agricultural weeds (foxtail, barnyard grass, ragweed etc.) reduces competition, allowing native plant seedlings to receive sufficient water and sunlight. The planting may have a somewhat weedy appearance in the first year (see establishment mowing paragraph above). </w:t>
      </w:r>
    </w:p>
    <w:p w14:paraId="4FA91FA3" w14:textId="77777777" w:rsidR="00510AF8" w:rsidRDefault="00510AF8" w:rsidP="00510AF8">
      <w:r>
        <w:t>(IMAGE)</w:t>
      </w:r>
    </w:p>
    <w:p w14:paraId="262F96CB" w14:textId="77777777" w:rsidR="00510AF8" w:rsidRDefault="00510AF8" w:rsidP="00510AF8">
      <w:pPr>
        <w:spacing w:before="120"/>
        <w:rPr>
          <w:b/>
          <w:bCs/>
        </w:rPr>
      </w:pPr>
      <w:r>
        <w:rPr>
          <w:b/>
          <w:bCs/>
        </w:rPr>
        <w:t>What to Expect in Year 2</w:t>
      </w:r>
    </w:p>
    <w:p w14:paraId="0AB8B6C7" w14:textId="77777777" w:rsidR="00510AF8" w:rsidRDefault="00510AF8" w:rsidP="00510AF8">
      <w:r>
        <w:t xml:space="preserve">During year two, some of the perennial native grasses, sedges and flowers may reach their mature height and some may even flower. Depending on when the seeding occurred (spring or dormant), there may be many first-year native seedlings germinating alongside established native plants. Mowing or grazing may still play a key role in managing weeds and promoting native seedling growth. </w:t>
      </w:r>
    </w:p>
    <w:p w14:paraId="6B489947" w14:textId="77777777" w:rsidR="00510AF8" w:rsidRDefault="00510AF8" w:rsidP="00510AF8">
      <w:r>
        <w:t>(IMAGE)</w:t>
      </w:r>
    </w:p>
    <w:p w14:paraId="5B2D2058" w14:textId="77777777" w:rsidR="00510AF8" w:rsidRDefault="00510AF8" w:rsidP="00510AF8">
      <w:pPr>
        <w:spacing w:before="120"/>
        <w:rPr>
          <w:b/>
          <w:bCs/>
        </w:rPr>
      </w:pPr>
      <w:r>
        <w:rPr>
          <w:b/>
          <w:bCs/>
        </w:rPr>
        <w:t>What to Expect in Year 3 and Beyond</w:t>
      </w:r>
    </w:p>
    <w:p w14:paraId="6D3EAB01" w14:textId="77777777" w:rsidR="00510AF8" w:rsidRDefault="00510AF8" w:rsidP="00510AF8">
      <w:r>
        <w:t xml:space="preserve">By the end of year three many of the native plants should start flowering. There may be some long-lived species that are slow to establish and may not show up for several years. </w:t>
      </w:r>
    </w:p>
    <w:p w14:paraId="183339CE" w14:textId="77777777" w:rsidR="00510AF8" w:rsidRDefault="00510AF8" w:rsidP="00510AF8">
      <w:pPr>
        <w:spacing w:before="120"/>
        <w:rPr>
          <w:b/>
          <w:bCs/>
        </w:rPr>
      </w:pPr>
      <w:r>
        <w:rPr>
          <w:b/>
          <w:bCs/>
        </w:rPr>
        <w:t>Problem Solving</w:t>
      </w:r>
    </w:p>
    <w:p w14:paraId="003D51CE" w14:textId="03D6540F" w:rsidR="00510AF8" w:rsidRDefault="00510AF8" w:rsidP="00510AF8">
      <w:pPr>
        <w:spacing w:before="120"/>
      </w:pPr>
      <w:r>
        <w:rPr>
          <w:rStyle w:val="IntenseEmphasis"/>
          <w:color w:val="2F5496" w:themeColor="accent1" w:themeShade="BF"/>
        </w:rPr>
        <w:t>Poor Establishment After Year 1</w:t>
      </w:r>
      <w:r>
        <w:rPr>
          <w:color w:val="2F5496" w:themeColor="accent1" w:themeShade="BF"/>
        </w:rPr>
        <w:t xml:space="preserve"> </w:t>
      </w:r>
      <w:r>
        <w:t xml:space="preserve">– It is often difficult to determine if seeding is successful during the first year, as establishment may vary depending on weather conditions, site preparation, and site conditions.  Species germinate and establish at different </w:t>
      </w:r>
      <w:r w:rsidR="00D9597D">
        <w:t>rates,</w:t>
      </w:r>
      <w:r>
        <w:t xml:space="preserve"> and some may be slow to establish. Seed establishment is often delayed during drought conditions. Corrective actions should generally not occur until year 2. Looks for species such as Black-Eyed Susan seedlings in year 1 for confirmation the seeding was a success.</w:t>
      </w:r>
    </w:p>
    <w:p w14:paraId="4B7807A1" w14:textId="77777777" w:rsidR="00510AF8" w:rsidRDefault="00510AF8" w:rsidP="00510AF8">
      <w:pPr>
        <w:spacing w:before="120"/>
      </w:pPr>
      <w:r>
        <w:rPr>
          <w:rStyle w:val="IntenseEmphasis"/>
          <w:color w:val="2F5496" w:themeColor="accent1" w:themeShade="BF"/>
        </w:rPr>
        <w:t>Poor Establishment After Year 2</w:t>
      </w:r>
      <w:r>
        <w:rPr>
          <w:color w:val="2F5496" w:themeColor="accent1" w:themeShade="BF"/>
        </w:rPr>
        <w:t xml:space="preserve"> </w:t>
      </w:r>
      <w:r>
        <w:t xml:space="preserve">– If native plant seedlings are not establishing about every one to two feet it may be necessary to </w:t>
      </w:r>
      <w:proofErr w:type="spellStart"/>
      <w:r>
        <w:t>interseed</w:t>
      </w:r>
      <w:proofErr w:type="spellEnd"/>
      <w:r>
        <w:t xml:space="preserve"> the planting. Monitor the site during the growing season to determine which species are present, and which species may need to be supplemented. </w:t>
      </w:r>
      <w:proofErr w:type="spellStart"/>
      <w:r>
        <w:t>Interseeding</w:t>
      </w:r>
      <w:proofErr w:type="spellEnd"/>
      <w:r>
        <w:t xml:space="preserve"> should be conducted after the second growing season. </w:t>
      </w:r>
    </w:p>
    <w:p w14:paraId="56C98361" w14:textId="77777777" w:rsidR="00510AF8" w:rsidRDefault="00510AF8" w:rsidP="00510AF8">
      <w:pPr>
        <w:spacing w:before="120"/>
      </w:pPr>
      <w:r>
        <w:rPr>
          <w:rStyle w:val="IntenseQuoteChar"/>
          <w:color w:val="2F5496" w:themeColor="accent1" w:themeShade="BF"/>
        </w:rPr>
        <w:t>High Annual and Biennial Weed Competition</w:t>
      </w:r>
      <w:r>
        <w:rPr>
          <w:color w:val="2F5496" w:themeColor="accent1" w:themeShade="BF"/>
        </w:rPr>
        <w:t xml:space="preserve"> </w:t>
      </w:r>
      <w:r>
        <w:t xml:space="preserve">– Annual and biennial weed competition is generally not a concern as they are short lived and frequent mowing in the first year of establishment reduces their contributions to the seed bank. Even without mowing, perennial native plants tend to outcompete annual and biennial weeds as the planting matures.  </w:t>
      </w:r>
    </w:p>
    <w:p w14:paraId="0BC20AF1" w14:textId="77777777" w:rsidR="00510AF8" w:rsidRDefault="00510AF8" w:rsidP="00510AF8">
      <w:pPr>
        <w:spacing w:before="120"/>
      </w:pPr>
      <w:r>
        <w:rPr>
          <w:rStyle w:val="IntenseEmphasis"/>
          <w:color w:val="2F5496" w:themeColor="accent1" w:themeShade="BF"/>
        </w:rPr>
        <w:t>High Perennial Weed Competition</w:t>
      </w:r>
      <w:r>
        <w:rPr>
          <w:color w:val="2F5496" w:themeColor="accent1" w:themeShade="BF"/>
        </w:rPr>
        <w:t xml:space="preserve"> </w:t>
      </w:r>
      <w:r>
        <w:t xml:space="preserve">– Dense establishment of perennial weed species can be a problem as they can prevent the establishment of native species. Prescribed burning, prescribed grazing, and/or spot herbicide application may be needed to manage perennial weeds.  </w:t>
      </w:r>
    </w:p>
    <w:p w14:paraId="2E2A65D7" w14:textId="102452D0" w:rsidR="00510AF8" w:rsidRDefault="00510AF8" w:rsidP="00510AF8">
      <w:pPr>
        <w:spacing w:before="120"/>
      </w:pPr>
      <w:r>
        <w:rPr>
          <w:rStyle w:val="IntenseEmphasis"/>
          <w:color w:val="2F5496" w:themeColor="accent1" w:themeShade="BF"/>
        </w:rPr>
        <w:t>Low Forb Diversity After Year 3</w:t>
      </w:r>
      <w:r>
        <w:rPr>
          <w:color w:val="2F5496" w:themeColor="accent1" w:themeShade="BF"/>
        </w:rPr>
        <w:t xml:space="preserve"> </w:t>
      </w:r>
      <w:r>
        <w:t xml:space="preserve">– If grasses and sedges are successfully establishing but there is a lack of forbs, it is recommended to inter-seed additional forbs in late fall or after spring mowing or grazing. See the </w:t>
      </w:r>
      <w:hyperlink r:id="rId18" w:history="1">
        <w:r>
          <w:rPr>
            <w:rStyle w:val="Hyperlink"/>
            <w:color w:val="2F5496" w:themeColor="accent1" w:themeShade="BF"/>
          </w:rPr>
          <w:t>Xerces Society guide</w:t>
        </w:r>
      </w:hyperlink>
      <w:r>
        <w:t xml:space="preserve"> for additional information and guidance about inter-seeding wildflowers.</w:t>
      </w:r>
    </w:p>
    <w:p w14:paraId="2B91BBFA" w14:textId="77777777" w:rsidR="00510AF8" w:rsidRDefault="00510AF8" w:rsidP="00510AF8"/>
    <w:p w14:paraId="55DD389F" w14:textId="77777777" w:rsidR="00830F5A" w:rsidRDefault="00830F5A" w:rsidP="00510AF8"/>
    <w:sectPr w:rsidR="00830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A"/>
    <w:rsid w:val="0007505E"/>
    <w:rsid w:val="0013359A"/>
    <w:rsid w:val="001F72E5"/>
    <w:rsid w:val="002061A0"/>
    <w:rsid w:val="002614B3"/>
    <w:rsid w:val="002A515D"/>
    <w:rsid w:val="002E7BA4"/>
    <w:rsid w:val="003347A3"/>
    <w:rsid w:val="003E1E91"/>
    <w:rsid w:val="00431A61"/>
    <w:rsid w:val="004427A8"/>
    <w:rsid w:val="0046129D"/>
    <w:rsid w:val="00510AF8"/>
    <w:rsid w:val="00553A9F"/>
    <w:rsid w:val="00582E67"/>
    <w:rsid w:val="005C2929"/>
    <w:rsid w:val="005F565A"/>
    <w:rsid w:val="006D51A2"/>
    <w:rsid w:val="00830F5A"/>
    <w:rsid w:val="008F209F"/>
    <w:rsid w:val="00961D6C"/>
    <w:rsid w:val="009A70A4"/>
    <w:rsid w:val="00A06750"/>
    <w:rsid w:val="00A95DD7"/>
    <w:rsid w:val="00AC180D"/>
    <w:rsid w:val="00B748DC"/>
    <w:rsid w:val="00C67C91"/>
    <w:rsid w:val="00D65FB8"/>
    <w:rsid w:val="00D80E3B"/>
    <w:rsid w:val="00D9597D"/>
    <w:rsid w:val="00FE42A6"/>
    <w:rsid w:val="05BE835C"/>
    <w:rsid w:val="10C709AF"/>
    <w:rsid w:val="1871D149"/>
    <w:rsid w:val="1CB3448A"/>
    <w:rsid w:val="313A307A"/>
    <w:rsid w:val="3EB8FECC"/>
    <w:rsid w:val="57A25207"/>
    <w:rsid w:val="5D41AF54"/>
    <w:rsid w:val="63BF302F"/>
    <w:rsid w:val="6726A642"/>
    <w:rsid w:val="67956EEC"/>
    <w:rsid w:val="79F0C5CA"/>
    <w:rsid w:val="7AFE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A3EF"/>
  <w15:chartTrackingRefBased/>
  <w15:docId w15:val="{2296B941-C2B5-4808-8CB0-AF9EA1CB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F5A"/>
    <w:rPr>
      <w:color w:val="0563C1" w:themeColor="hyperlink"/>
      <w:u w:val="single"/>
    </w:rPr>
  </w:style>
  <w:style w:type="paragraph" w:styleId="IntenseQuote">
    <w:name w:val="Intense Quote"/>
    <w:basedOn w:val="Normal"/>
    <w:next w:val="Normal"/>
    <w:link w:val="IntenseQuoteChar"/>
    <w:uiPriority w:val="30"/>
    <w:qFormat/>
    <w:rsid w:val="00830F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0F5A"/>
    <w:rPr>
      <w:rFonts w:ascii="Calibri" w:hAnsi="Calibri" w:cs="Calibri"/>
      <w:i/>
      <w:iCs/>
      <w:color w:val="4472C4" w:themeColor="accent1"/>
    </w:rPr>
  </w:style>
  <w:style w:type="paragraph" w:customStyle="1" w:styleId="Default">
    <w:name w:val="Default"/>
    <w:rsid w:val="00830F5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830F5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06131">
      <w:bodyDiv w:val="1"/>
      <w:marLeft w:val="0"/>
      <w:marRight w:val="0"/>
      <w:marTop w:val="0"/>
      <w:marBottom w:val="0"/>
      <w:divBdr>
        <w:top w:val="none" w:sz="0" w:space="0" w:color="auto"/>
        <w:left w:val="none" w:sz="0" w:space="0" w:color="auto"/>
        <w:bottom w:val="none" w:sz="0" w:space="0" w:color="auto"/>
        <w:right w:val="none" w:sz="0" w:space="0" w:color="auto"/>
      </w:divBdr>
    </w:div>
    <w:div w:id="1034883467">
      <w:bodyDiv w:val="1"/>
      <w:marLeft w:val="0"/>
      <w:marRight w:val="0"/>
      <w:marTop w:val="0"/>
      <w:marBottom w:val="0"/>
      <w:divBdr>
        <w:top w:val="none" w:sz="0" w:space="0" w:color="auto"/>
        <w:left w:val="none" w:sz="0" w:space="0" w:color="auto"/>
        <w:bottom w:val="none" w:sz="0" w:space="0" w:color="auto"/>
        <w:right w:val="none" w:sz="0" w:space="0" w:color="auto"/>
      </w:divBdr>
    </w:div>
    <w:div w:id="11669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wsr.state.mn.us/seed-mixes" TargetMode="External"/><Relationship Id="rId18"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mipncontroldatabase.wisc.edu/" TargetMode="External"/><Relationship Id="rId2" Type="http://schemas.openxmlformats.org/officeDocument/2006/relationships/customXml" Target="../customXml/item2.xml"/><Relationship Id="rId16" Type="http://schemas.openxmlformats.org/officeDocument/2006/relationships/hyperlink" Target="https://www.mda.state.mn.us/plants-insects/minnesota-noxious-weed-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xerces.org/publications/guidelines/organic-site-preparation-for-wildflower-establishmen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bwsr.state.mn.us/sites/default/files/2021-02/seedmix-substitu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6B715-26C9-40C5-9D81-3BA11162B799}">
  <ds:schemaRefs>
    <ds:schemaRef ds:uri="http://schemas.microsoft.com/sharepoint/v3/contenttype/forms"/>
  </ds:schemaRefs>
</ds:datastoreItem>
</file>

<file path=customXml/itemProps2.xml><?xml version="1.0" encoding="utf-8"?>
<ds:datastoreItem xmlns:ds="http://schemas.openxmlformats.org/officeDocument/2006/customXml" ds:itemID="{96C4BD59-545A-4A81-B9DA-498F0C2DF3D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d37426c-40bd-4a45-9ec1-df064aaa9130"/>
    <ds:schemaRef ds:uri="http://purl.org/dc/terms/"/>
    <ds:schemaRef ds:uri="http://schemas.microsoft.com/office/infopath/2007/PartnerControls"/>
    <ds:schemaRef ds:uri="5e5027df-e74e-4ce0-b9c9-d835891705a8"/>
    <ds:schemaRef ds:uri="http://www.w3.org/XML/1998/namespace"/>
    <ds:schemaRef ds:uri="http://purl.org/dc/dcmitype/"/>
  </ds:schemaRefs>
</ds:datastoreItem>
</file>

<file path=customXml/itemProps3.xml><?xml version="1.0" encoding="utf-8"?>
<ds:datastoreItem xmlns:ds="http://schemas.openxmlformats.org/officeDocument/2006/customXml" ds:itemID="{71CA9358-DADB-4CF3-911D-1839EDE2A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2764</Words>
  <Characters>15761</Characters>
  <Application>Microsoft Office Word</Application>
  <DocSecurity>4</DocSecurity>
  <Lines>131</Lines>
  <Paragraphs>36</Paragraphs>
  <ScaleCrop>false</ScaleCrop>
  <Company/>
  <LinksUpToDate>false</LinksUpToDate>
  <CharactersWithSpaces>18489</CharactersWithSpaces>
  <SharedDoc>false</SharedDoc>
  <HLinks>
    <vt:vector size="36" baseType="variant">
      <vt:variant>
        <vt:i4>3211363</vt:i4>
      </vt:variant>
      <vt:variant>
        <vt:i4>15</vt:i4>
      </vt:variant>
      <vt:variant>
        <vt:i4>0</vt:i4>
      </vt:variant>
      <vt:variant>
        <vt:i4>5</vt:i4>
      </vt:variant>
      <vt:variant>
        <vt:lpwstr>https://xerces.org/publications/guidelines/interseeding-wildflowers-to-diversify-grasslands-for-pollinators</vt:lpwstr>
      </vt:variant>
      <vt:variant>
        <vt:lpwstr/>
      </vt:variant>
      <vt:variant>
        <vt:i4>5701636</vt:i4>
      </vt:variant>
      <vt:variant>
        <vt:i4>12</vt:i4>
      </vt:variant>
      <vt:variant>
        <vt:i4>0</vt:i4>
      </vt:variant>
      <vt:variant>
        <vt:i4>5</vt:i4>
      </vt:variant>
      <vt:variant>
        <vt:lpwstr>https://mipncontroldatabase.wisc.edu/</vt:lpwstr>
      </vt:variant>
      <vt:variant>
        <vt:lpwstr/>
      </vt:variant>
      <vt:variant>
        <vt:i4>7667752</vt:i4>
      </vt:variant>
      <vt:variant>
        <vt:i4>9</vt:i4>
      </vt:variant>
      <vt:variant>
        <vt:i4>0</vt:i4>
      </vt:variant>
      <vt:variant>
        <vt:i4>5</vt:i4>
      </vt:variant>
      <vt:variant>
        <vt:lpwstr>https://www.mda.state.mn.us/plants-insects/minnesota-noxious-weed-list</vt:lpwstr>
      </vt:variant>
      <vt:variant>
        <vt:lpwstr>:~:text=State%20Prohibited%20Noxious%20Weeds%20%20%20%20,%20%202012%20%2012%20more%20rows%20</vt:lpwstr>
      </vt:variant>
      <vt:variant>
        <vt:i4>1179663</vt:i4>
      </vt:variant>
      <vt:variant>
        <vt:i4>6</vt:i4>
      </vt:variant>
      <vt:variant>
        <vt:i4>0</vt:i4>
      </vt:variant>
      <vt:variant>
        <vt:i4>5</vt:i4>
      </vt:variant>
      <vt:variant>
        <vt:lpwstr>https://xerces.org/publications/guidelines/organic-site-preparation-for-wildflower-establishment</vt:lpwstr>
      </vt:variant>
      <vt:variant>
        <vt:lpwstr/>
      </vt:variant>
      <vt:variant>
        <vt:i4>65556</vt:i4>
      </vt:variant>
      <vt:variant>
        <vt:i4>3</vt:i4>
      </vt:variant>
      <vt:variant>
        <vt:i4>0</vt:i4>
      </vt:variant>
      <vt:variant>
        <vt:i4>5</vt:i4>
      </vt:variant>
      <vt:variant>
        <vt:lpwstr>https://bwsr.state.mn.us/sites/default/files/2021-02/seedmix-substitution.pdf</vt:lpwstr>
      </vt:variant>
      <vt:variant>
        <vt:lpwstr/>
      </vt:variant>
      <vt:variant>
        <vt:i4>6553713</vt:i4>
      </vt:variant>
      <vt:variant>
        <vt:i4>0</vt:i4>
      </vt:variant>
      <vt:variant>
        <vt:i4>0</vt:i4>
      </vt:variant>
      <vt:variant>
        <vt:i4>5</vt:i4>
      </vt:variant>
      <vt:variant>
        <vt:lpwstr>https://bwsr.state.mn.us/seed-mixes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Rost, Cecelia (She/Her/Hers) (BWSR)</cp:lastModifiedBy>
  <cp:revision>15</cp:revision>
  <dcterms:created xsi:type="dcterms:W3CDTF">2023-04-18T21:33:00Z</dcterms:created>
  <dcterms:modified xsi:type="dcterms:W3CDTF">2024-04-16T17:05:00Z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