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0E0DC" w14:textId="72551F6C" w:rsidR="00A95DD7" w:rsidRPr="00997923" w:rsidRDefault="13F5D7E4" w:rsidP="3BDC28E7">
      <w:pPr>
        <w:rPr>
          <w:rFonts w:asciiTheme="majorHAnsi" w:hAnsiTheme="majorHAnsi" w:cstheme="majorBidi"/>
          <w:b/>
          <w:bCs/>
          <w:sz w:val="48"/>
          <w:szCs w:val="48"/>
        </w:rPr>
      </w:pPr>
      <w:r w:rsidRPr="3BDC28E7">
        <w:rPr>
          <w:rFonts w:asciiTheme="majorHAnsi" w:hAnsiTheme="majorHAnsi" w:cstheme="majorBidi"/>
          <w:b/>
          <w:bCs/>
          <w:sz w:val="48"/>
          <w:szCs w:val="48"/>
        </w:rPr>
        <w:t xml:space="preserve">High Diversity </w:t>
      </w:r>
      <w:r w:rsidR="00A95DD7" w:rsidRPr="3BDC28E7">
        <w:rPr>
          <w:rFonts w:asciiTheme="majorHAnsi" w:hAnsiTheme="majorHAnsi" w:cstheme="majorBidi"/>
          <w:b/>
          <w:bCs/>
          <w:sz w:val="48"/>
          <w:szCs w:val="48"/>
        </w:rPr>
        <w:t xml:space="preserve">Solar Array Mesic Soils South and West Seed Mix </w:t>
      </w:r>
      <w:r w:rsidR="4A7E3EB5" w:rsidRPr="3BDC28E7">
        <w:rPr>
          <w:rFonts w:asciiTheme="majorHAnsi" w:hAnsiTheme="majorHAnsi" w:cstheme="majorBidi"/>
          <w:b/>
          <w:bCs/>
          <w:sz w:val="48"/>
          <w:szCs w:val="48"/>
        </w:rPr>
        <w:t>39-241</w:t>
      </w:r>
    </w:p>
    <w:p w14:paraId="2E991E1B" w14:textId="4CC6DE1F" w:rsidR="00A62173" w:rsidRDefault="00E83B8C" w:rsidP="00A62173">
      <w:pPr>
        <w:spacing w:after="160" w:line="259" w:lineRule="auto"/>
        <w:rPr>
          <w:rFonts w:asciiTheme="minorHAnsi" w:hAnsiTheme="minorHAnsi" w:cstheme="minorBidi"/>
        </w:rPr>
      </w:pPr>
      <w:r w:rsidRPr="00105A48">
        <w:rPr>
          <w:rFonts w:asciiTheme="minorHAnsi" w:hAnsiTheme="minorHAnsi" w:cstheme="minorBidi"/>
        </w:rPr>
        <w:t>Updated: 202</w:t>
      </w:r>
      <w:r>
        <w:rPr>
          <w:rFonts w:asciiTheme="minorHAnsi" w:hAnsiTheme="minorHAnsi" w:cstheme="minorBidi"/>
        </w:rPr>
        <w:t>3</w:t>
      </w:r>
      <w:r w:rsidR="002D1BD8">
        <w:rPr>
          <w:rFonts w:asciiTheme="minorHAnsi" w:hAnsiTheme="minorHAnsi" w:cstheme="minorBidi"/>
        </w:rPr>
        <w:tab/>
      </w:r>
      <w:r w:rsidR="002D1BD8">
        <w:rPr>
          <w:rFonts w:asciiTheme="minorHAnsi" w:hAnsiTheme="minorHAnsi" w:cstheme="minorBidi"/>
        </w:rPr>
        <w:tab/>
      </w:r>
      <w:r w:rsidR="002D1BD8">
        <w:rPr>
          <w:rFonts w:asciiTheme="minorHAnsi" w:hAnsiTheme="minorHAnsi" w:cstheme="minorBidi"/>
        </w:rPr>
        <w:tab/>
      </w:r>
      <w:r w:rsidR="002D1BD8">
        <w:rPr>
          <w:rFonts w:asciiTheme="minorHAnsi" w:hAnsiTheme="minorHAnsi" w:cstheme="minorBidi"/>
        </w:rPr>
        <w:tab/>
      </w:r>
      <w:r w:rsidR="002D1BD8">
        <w:rPr>
          <w:rFonts w:asciiTheme="minorHAnsi" w:hAnsiTheme="minorHAnsi" w:cstheme="minorBidi"/>
        </w:rPr>
        <w:tab/>
      </w:r>
      <w:r w:rsidR="002D1BD8">
        <w:rPr>
          <w:rFonts w:asciiTheme="minorHAnsi" w:hAnsiTheme="minorHAnsi" w:cstheme="minorBidi"/>
        </w:rPr>
        <w:tab/>
      </w:r>
      <w:r w:rsidR="002D1BD8">
        <w:rPr>
          <w:rFonts w:asciiTheme="minorHAnsi" w:hAnsiTheme="minorHAnsi" w:cstheme="minorBidi"/>
        </w:rPr>
        <w:tab/>
      </w:r>
      <w:r w:rsidR="002D1BD8">
        <w:rPr>
          <w:rFonts w:asciiTheme="minorHAnsi" w:hAnsiTheme="minorHAnsi" w:cstheme="minorBidi"/>
        </w:rPr>
        <w:tab/>
      </w:r>
      <w:r w:rsidR="00A62173">
        <w:rPr>
          <w:noProof/>
        </w:rPr>
        <w:drawing>
          <wp:inline distT="0" distB="0" distL="0" distR="0" wp14:anchorId="0E4A8F4D" wp14:editId="5D6843DA">
            <wp:extent cx="1590675" cy="104530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4877" t="19102" r="54251" b="56510"/>
                    <a:stretch/>
                  </pic:blipFill>
                  <pic:spPr bwMode="auto">
                    <a:xfrm>
                      <a:off x="0" y="0"/>
                      <a:ext cx="1596746" cy="1049290"/>
                    </a:xfrm>
                    <a:prstGeom prst="rect">
                      <a:avLst/>
                    </a:prstGeom>
                    <a:ln>
                      <a:noFill/>
                    </a:ln>
                    <a:extLst>
                      <a:ext uri="{53640926-AAD7-44D8-BBD7-CCE9431645EC}">
                        <a14:shadowObscured xmlns:a14="http://schemas.microsoft.com/office/drawing/2010/main"/>
                      </a:ext>
                    </a:extLst>
                  </pic:spPr>
                </pic:pic>
              </a:graphicData>
            </a:graphic>
          </wp:inline>
        </w:drawing>
      </w:r>
    </w:p>
    <w:p w14:paraId="72FCC755" w14:textId="261600CF" w:rsidR="00A95DD7" w:rsidRDefault="00A95DD7" w:rsidP="00A95DD7">
      <w:pPr>
        <w:spacing w:after="160" w:line="259" w:lineRule="auto"/>
        <w:rPr>
          <w:rFonts w:asciiTheme="minorHAnsi" w:hAnsiTheme="minorHAnsi" w:cstheme="minorBidi"/>
        </w:rPr>
      </w:pPr>
      <w:r w:rsidRPr="00105A48">
        <w:rPr>
          <w:rFonts w:eastAsia="Times New Roman"/>
        </w:rPr>
        <w:t>This mix has been designed to</w:t>
      </w:r>
      <w:r w:rsidRPr="00105A48">
        <w:t xml:space="preserve"> </w:t>
      </w:r>
      <w:r>
        <w:t xml:space="preserve">establish native plantings under solar panels that provide habitat for pollinators and other invertebrates, enhances water management, improves habitat for beneficial soil organisms and provides cooling of solar panels. </w:t>
      </w:r>
    </w:p>
    <w:p w14:paraId="5A0C9E8B" w14:textId="48079B2E" w:rsidR="002A515D" w:rsidRDefault="002A515D" w:rsidP="002A515D">
      <w:pPr>
        <w:spacing w:after="160" w:line="259" w:lineRule="auto"/>
        <w:rPr>
          <w:rFonts w:asciiTheme="minorHAnsi" w:hAnsiTheme="minorHAnsi" w:cstheme="minorBidi"/>
        </w:rPr>
      </w:pPr>
      <w:r w:rsidRPr="002A515D">
        <w:rPr>
          <w:rFonts w:asciiTheme="minorHAnsi" w:hAnsiTheme="minorHAnsi" w:cstheme="minorBidi"/>
          <w:noProof/>
        </w:rPr>
        <mc:AlternateContent>
          <mc:Choice Requires="wps">
            <w:drawing>
              <wp:anchor distT="45720" distB="45720" distL="114300" distR="114300" simplePos="0" relativeHeight="251666432" behindDoc="0" locked="0" layoutInCell="1" allowOverlap="1" wp14:anchorId="6D8A44A4" wp14:editId="6AC8C0E2">
                <wp:simplePos x="0" y="0"/>
                <wp:positionH relativeFrom="column">
                  <wp:posOffset>-85725</wp:posOffset>
                </wp:positionH>
                <wp:positionV relativeFrom="paragraph">
                  <wp:posOffset>507365</wp:posOffset>
                </wp:positionV>
                <wp:extent cx="2360930" cy="495300"/>
                <wp:effectExtent l="0" t="0" r="381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95300"/>
                        </a:xfrm>
                        <a:prstGeom prst="rect">
                          <a:avLst/>
                        </a:prstGeom>
                        <a:solidFill>
                          <a:srgbClr val="FFFFFF"/>
                        </a:solidFill>
                        <a:ln w="9525">
                          <a:noFill/>
                          <a:miter lim="800000"/>
                          <a:headEnd/>
                          <a:tailEnd/>
                        </a:ln>
                      </wps:spPr>
                      <wps:txbx>
                        <w:txbxContent>
                          <w:p w14:paraId="205D705F" w14:textId="06DD8DB7" w:rsidR="002A515D" w:rsidRDefault="002A515D">
                            <w:r>
                              <w:rPr>
                                <w:noProof/>
                              </w:rPr>
                              <w:drawing>
                                <wp:inline distT="0" distB="0" distL="0" distR="0" wp14:anchorId="523FF498" wp14:editId="061EC619">
                                  <wp:extent cx="1685925" cy="432873"/>
                                  <wp:effectExtent l="0" t="0" r="0" b="5715"/>
                                  <wp:docPr id="2" name="Picture 2" descr="Resources - BI-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urces - BI-CA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754" cy="4395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D8A44A4" id="_x0000_t202" coordsize="21600,21600" o:spt="202" path="m,l,21600r21600,l21600,xe">
                <v:stroke joinstyle="miter"/>
                <v:path gradientshapeok="t" o:connecttype="rect"/>
              </v:shapetype>
              <v:shape id="Text Box 2" o:spid="_x0000_s1026" type="#_x0000_t202" style="position:absolute;margin-left:-6.75pt;margin-top:39.95pt;width:185.9pt;height:39pt;z-index:2516664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" stroked="f">
                <v:textbox>
                  <w:txbxContent>
                    <w:p w14:paraId="205D705F" w14:textId="06DD8DB7" w:rsidR="002A515D" w:rsidRDefault="002A515D">
                      <w:r>
                        <w:rPr>
                          <w:noProof/>
                        </w:rPr>
                        <w:drawing>
                          <wp:inline distT="0" distB="0" distL="0" distR="0" wp14:anchorId="523FF498" wp14:editId="061EC619">
                            <wp:extent cx="1685925" cy="432873"/>
                            <wp:effectExtent l="0" t="0" r="0" b="5715"/>
                            <wp:docPr id="2" name="Picture 2" descr="Resources - BI-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urces - BI-CA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754" cy="439505"/>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64384" behindDoc="0" locked="0" layoutInCell="1" allowOverlap="1" wp14:anchorId="3CDE2FEB" wp14:editId="6C384E68">
                <wp:simplePos x="0" y="0"/>
                <wp:positionH relativeFrom="column">
                  <wp:posOffset>9525</wp:posOffset>
                </wp:positionH>
                <wp:positionV relativeFrom="paragraph">
                  <wp:posOffset>57785</wp:posOffset>
                </wp:positionV>
                <wp:extent cx="2360930" cy="381000"/>
                <wp:effectExtent l="0" t="0" r="381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1000"/>
                        </a:xfrm>
                        <a:prstGeom prst="rect">
                          <a:avLst/>
                        </a:prstGeom>
                        <a:solidFill>
                          <a:srgbClr val="FFFFFF"/>
                        </a:solidFill>
                        <a:ln w="9525">
                          <a:noFill/>
                          <a:miter lim="800000"/>
                          <a:headEnd/>
                          <a:tailEnd/>
                        </a:ln>
                      </wps:spPr>
                      <wps:txbx>
                        <w:txbxContent>
                          <w:p w14:paraId="20A483A0" w14:textId="12930DAC" w:rsidR="002A515D" w:rsidRDefault="002A515D">
                            <w:r>
                              <w:rPr>
                                <w:noProof/>
                              </w:rPr>
                              <w:drawing>
                                <wp:inline distT="0" distB="0" distL="0" distR="0" wp14:anchorId="6651C926" wp14:editId="66907026">
                                  <wp:extent cx="2162810" cy="30897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rotWithShape="1">
                                          <a:blip r:embed="rId9">
                                            <a:extLst>
                                              <a:ext uri="{28A0092B-C50C-407E-A947-70E740481C1C}">
                                                <a14:useLocalDpi xmlns:a14="http://schemas.microsoft.com/office/drawing/2010/main" val="0"/>
                                              </a:ext>
                                            </a:extLst>
                                          </a:blip>
                                          <a:srcRect t="21622"/>
                                          <a:stretch/>
                                        </pic:blipFill>
                                        <pic:spPr bwMode="auto">
                                          <a:xfrm>
                                            <a:off x="0" y="0"/>
                                            <a:ext cx="2162810" cy="30897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CDE2FEB" id="_x0000_s1027" type="#_x0000_t202" style="position:absolute;margin-left:.75pt;margin-top:4.55pt;width:185.9pt;height:30pt;z-index:2516643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" stroked="f">
                <v:textbox>
                  <w:txbxContent>
                    <w:p w14:paraId="20A483A0" w14:textId="12930DAC" w:rsidR="002A515D" w:rsidRDefault="002A515D">
                      <w:r>
                        <w:rPr>
                          <w:noProof/>
                        </w:rPr>
                        <w:drawing>
                          <wp:inline distT="0" distB="0" distL="0" distR="0" wp14:anchorId="6651C926" wp14:editId="66907026">
                            <wp:extent cx="2162810" cy="30897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rotWithShape="1">
                                    <a:blip r:embed="rId9">
                                      <a:extLst>
                                        <a:ext uri="{28A0092B-C50C-407E-A947-70E740481C1C}">
                                          <a14:useLocalDpi xmlns:a14="http://schemas.microsoft.com/office/drawing/2010/main" val="0"/>
                                        </a:ext>
                                      </a:extLst>
                                    </a:blip>
                                    <a:srcRect t="21622"/>
                                    <a:stretch/>
                                  </pic:blipFill>
                                  <pic:spPr bwMode="auto">
                                    <a:xfrm>
                                      <a:off x="0" y="0"/>
                                      <a:ext cx="2162810" cy="308973"/>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Pr>
          <w:noProof/>
        </w:rPr>
        <w:drawing>
          <wp:inline distT="0" distB="0" distL="0" distR="0" wp14:anchorId="1E663EDA" wp14:editId="7F52AB06">
            <wp:extent cx="2162810" cy="38058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p w14:paraId="03A858D4" w14:textId="78FAC940" w:rsidR="002A515D" w:rsidRDefault="002A515D" w:rsidP="002A515D">
      <w:pPr>
        <w:spacing w:after="160" w:line="259" w:lineRule="auto"/>
        <w:ind w:right="-540"/>
        <w:rPr>
          <w:rFonts w:asciiTheme="minorHAnsi" w:hAnsiTheme="minorHAnsi" w:cstheme="minorBidi"/>
        </w:rPr>
      </w:pPr>
      <w:r>
        <w:rPr>
          <w:noProof/>
        </w:rPr>
        <w:drawing>
          <wp:inline distT="0" distB="0" distL="0" distR="0" wp14:anchorId="4FB071B8" wp14:editId="3F078CF1">
            <wp:extent cx="1123950"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p w14:paraId="7C8B5693" w14:textId="53AED231" w:rsidR="00A95DD7" w:rsidRPr="00D9597D" w:rsidRDefault="002A515D" w:rsidP="3BDC28E7">
      <w:pPr>
        <w:spacing w:after="160" w:line="259" w:lineRule="auto"/>
        <w:ind w:right="-540"/>
        <w:rPr>
          <w:rFonts w:asciiTheme="minorHAnsi" w:hAnsiTheme="minorHAnsi" w:cstheme="minorBidi"/>
        </w:rPr>
      </w:pPr>
      <w:r w:rsidRPr="3BDC28E7">
        <w:rPr>
          <w:rFonts w:asciiTheme="minorHAnsi" w:hAnsiTheme="minorHAnsi" w:cstheme="minorBidi"/>
        </w:rPr>
        <w:t>Partners also include collaboration among Non-profits, Seed vendors, SWCD, Tribal Governments, Consultants, County and Cities. (</w:t>
      </w:r>
      <w:r w:rsidR="007F4ED8" w:rsidRPr="3BDC28E7">
        <w:rPr>
          <w:rFonts w:asciiTheme="minorHAnsi" w:hAnsiTheme="minorHAnsi" w:cstheme="minorBidi"/>
        </w:rPr>
        <w:t>See</w:t>
      </w:r>
      <w:r w:rsidRPr="3BDC28E7">
        <w:rPr>
          <w:rFonts w:asciiTheme="minorHAnsi" w:hAnsiTheme="minorHAnsi" w:cstheme="minorBidi"/>
        </w:rPr>
        <w:t xml:space="preserve"> </w:t>
      </w:r>
      <w:r w:rsidR="6F80C06E" w:rsidRPr="3BDC28E7">
        <w:rPr>
          <w:rFonts w:asciiTheme="minorHAnsi" w:hAnsiTheme="minorHAnsi" w:cstheme="minorBidi"/>
        </w:rPr>
        <w:t xml:space="preserve">partner </w:t>
      </w:r>
      <w:r w:rsidRPr="3BDC28E7">
        <w:rPr>
          <w:rFonts w:asciiTheme="minorHAnsi" w:hAnsiTheme="minorHAnsi" w:cstheme="minorBidi"/>
        </w:rPr>
        <w:t xml:space="preserve">list on </w:t>
      </w:r>
      <w:hyperlink r:id="rId12">
        <w:r w:rsidRPr="3BDC28E7">
          <w:rPr>
            <w:rFonts w:asciiTheme="minorHAnsi" w:hAnsiTheme="minorHAnsi" w:cstheme="minorBidi"/>
            <w:color w:val="0563C1"/>
            <w:u w:val="single"/>
          </w:rPr>
          <w:t>website</w:t>
        </w:r>
      </w:hyperlink>
      <w:r w:rsidRPr="3BDC28E7">
        <w:rPr>
          <w:rFonts w:asciiTheme="minorHAnsi" w:hAnsiTheme="minorHAnsi" w:cstheme="minorBidi"/>
        </w:rPr>
        <w:t>)</w:t>
      </w:r>
    </w:p>
    <w:tbl>
      <w:tblPr>
        <w:tblW w:w="9900" w:type="dxa"/>
        <w:tblLook w:val="04A0" w:firstRow="1" w:lastRow="0" w:firstColumn="1" w:lastColumn="0" w:noHBand="0" w:noVBand="1"/>
      </w:tblPr>
      <w:tblGrid>
        <w:gridCol w:w="928"/>
        <w:gridCol w:w="2222"/>
        <w:gridCol w:w="2880"/>
        <w:gridCol w:w="900"/>
        <w:gridCol w:w="1170"/>
        <w:gridCol w:w="1106"/>
        <w:gridCol w:w="1106"/>
      </w:tblGrid>
      <w:tr w:rsidR="009D0FBA" w:rsidRPr="009D0FBA" w14:paraId="1E79EFBB" w14:textId="77777777" w:rsidTr="009D0FBA">
        <w:trPr>
          <w:trHeight w:val="255"/>
        </w:trPr>
        <w:tc>
          <w:tcPr>
            <w:tcW w:w="928" w:type="dxa"/>
            <w:tcBorders>
              <w:top w:val="nil"/>
              <w:left w:val="nil"/>
              <w:bottom w:val="nil"/>
              <w:right w:val="nil"/>
            </w:tcBorders>
            <w:shd w:val="clear" w:color="auto" w:fill="auto"/>
            <w:noWrap/>
            <w:vAlign w:val="bottom"/>
            <w:hideMark/>
          </w:tcPr>
          <w:p w14:paraId="7B79602A" w14:textId="77777777" w:rsidR="009D0FBA" w:rsidRPr="009D0FBA" w:rsidRDefault="009D0FBA" w:rsidP="009D0FBA">
            <w:pPr>
              <w:rPr>
                <w:rFonts w:ascii="Times New Roman" w:eastAsia="Times New Roman" w:hAnsi="Times New Roman" w:cs="Times New Roman"/>
                <w:sz w:val="24"/>
                <w:szCs w:val="24"/>
              </w:rPr>
            </w:pPr>
          </w:p>
        </w:tc>
        <w:tc>
          <w:tcPr>
            <w:tcW w:w="2222" w:type="dxa"/>
            <w:tcBorders>
              <w:top w:val="nil"/>
              <w:left w:val="nil"/>
              <w:bottom w:val="nil"/>
              <w:right w:val="nil"/>
            </w:tcBorders>
            <w:shd w:val="clear" w:color="auto" w:fill="auto"/>
            <w:noWrap/>
            <w:vAlign w:val="bottom"/>
            <w:hideMark/>
          </w:tcPr>
          <w:p w14:paraId="7A6B2E14" w14:textId="77777777" w:rsidR="009D0FBA" w:rsidRPr="009D0FBA" w:rsidRDefault="009D0FBA" w:rsidP="009D0FBA">
            <w:pPr>
              <w:rPr>
                <w:rFonts w:ascii="Arial" w:eastAsia="Times New Roman" w:hAnsi="Arial" w:cs="Arial"/>
                <w:b/>
                <w:bCs/>
                <w:color w:val="000000"/>
                <w:sz w:val="20"/>
                <w:szCs w:val="20"/>
              </w:rPr>
            </w:pPr>
            <w:bookmarkStart w:id="0" w:name="RANGE!B1:G55"/>
            <w:r w:rsidRPr="009D0FBA">
              <w:rPr>
                <w:rFonts w:ascii="Arial" w:eastAsia="Times New Roman" w:hAnsi="Arial" w:cs="Arial"/>
                <w:b/>
                <w:bCs/>
                <w:color w:val="000000"/>
                <w:sz w:val="20"/>
                <w:szCs w:val="20"/>
              </w:rPr>
              <w:t>39-241</w:t>
            </w:r>
            <w:bookmarkEnd w:id="0"/>
          </w:p>
        </w:tc>
        <w:tc>
          <w:tcPr>
            <w:tcW w:w="6056" w:type="dxa"/>
            <w:gridSpan w:val="4"/>
            <w:tcBorders>
              <w:top w:val="nil"/>
              <w:left w:val="nil"/>
              <w:bottom w:val="nil"/>
              <w:right w:val="nil"/>
            </w:tcBorders>
            <w:shd w:val="clear" w:color="auto" w:fill="auto"/>
            <w:noWrap/>
            <w:vAlign w:val="bottom"/>
            <w:hideMark/>
          </w:tcPr>
          <w:p w14:paraId="7CD3BB29" w14:textId="77777777" w:rsidR="009D0FBA" w:rsidRPr="009D0FBA" w:rsidRDefault="009D0FBA" w:rsidP="009D0FBA">
            <w:pPr>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High Diversity Solar Array Mesic Soils South &amp; West Mix</w:t>
            </w:r>
          </w:p>
        </w:tc>
        <w:tc>
          <w:tcPr>
            <w:tcW w:w="694" w:type="dxa"/>
            <w:tcBorders>
              <w:top w:val="nil"/>
              <w:left w:val="nil"/>
              <w:bottom w:val="nil"/>
              <w:right w:val="nil"/>
            </w:tcBorders>
            <w:shd w:val="clear" w:color="auto" w:fill="auto"/>
            <w:noWrap/>
            <w:vAlign w:val="bottom"/>
            <w:hideMark/>
          </w:tcPr>
          <w:p w14:paraId="61C00483" w14:textId="77777777" w:rsidR="009D0FBA" w:rsidRPr="009D0FBA" w:rsidRDefault="009D0FBA" w:rsidP="009D0FBA">
            <w:pPr>
              <w:rPr>
                <w:rFonts w:ascii="Arial" w:eastAsia="Times New Roman" w:hAnsi="Arial" w:cs="Arial"/>
                <w:b/>
                <w:bCs/>
                <w:color w:val="000000"/>
                <w:sz w:val="20"/>
                <w:szCs w:val="20"/>
              </w:rPr>
            </w:pPr>
          </w:p>
        </w:tc>
      </w:tr>
      <w:tr w:rsidR="009D0FBA" w:rsidRPr="009D0FBA" w14:paraId="6B739FAA" w14:textId="77777777" w:rsidTr="009D0FBA">
        <w:trPr>
          <w:trHeight w:val="510"/>
        </w:trPr>
        <w:tc>
          <w:tcPr>
            <w:tcW w:w="928"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46EEA01E" w14:textId="77777777" w:rsidR="009D0FBA" w:rsidRPr="009D0FBA" w:rsidRDefault="009D0FBA" w:rsidP="009D0FBA">
            <w:pPr>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Code</w:t>
            </w:r>
          </w:p>
        </w:tc>
        <w:tc>
          <w:tcPr>
            <w:tcW w:w="2222" w:type="dxa"/>
            <w:tcBorders>
              <w:top w:val="single" w:sz="4" w:space="0" w:color="auto"/>
              <w:left w:val="nil"/>
              <w:bottom w:val="single" w:sz="4" w:space="0" w:color="auto"/>
              <w:right w:val="single" w:sz="4" w:space="0" w:color="auto"/>
            </w:tcBorders>
            <w:shd w:val="clear" w:color="000000" w:fill="9BC2E6"/>
            <w:vAlign w:val="bottom"/>
            <w:hideMark/>
          </w:tcPr>
          <w:p w14:paraId="4B8167CE" w14:textId="77777777" w:rsidR="009D0FBA" w:rsidRPr="009D0FBA" w:rsidRDefault="009D0FBA" w:rsidP="009D0FBA">
            <w:pPr>
              <w:jc w:val="center"/>
              <w:rPr>
                <w:rFonts w:ascii="Arial" w:eastAsia="Times New Roman" w:hAnsi="Arial" w:cs="Arial"/>
                <w:b/>
                <w:bCs/>
                <w:sz w:val="20"/>
                <w:szCs w:val="20"/>
              </w:rPr>
            </w:pPr>
            <w:r w:rsidRPr="009D0FBA">
              <w:rPr>
                <w:rFonts w:ascii="Arial" w:eastAsia="Times New Roman" w:hAnsi="Arial" w:cs="Arial"/>
                <w:b/>
                <w:bCs/>
                <w:sz w:val="20"/>
                <w:szCs w:val="20"/>
              </w:rPr>
              <w:t>Common Name</w:t>
            </w:r>
          </w:p>
        </w:tc>
        <w:tc>
          <w:tcPr>
            <w:tcW w:w="2880" w:type="dxa"/>
            <w:tcBorders>
              <w:top w:val="single" w:sz="4" w:space="0" w:color="auto"/>
              <w:left w:val="nil"/>
              <w:bottom w:val="single" w:sz="4" w:space="0" w:color="auto"/>
              <w:right w:val="single" w:sz="4" w:space="0" w:color="auto"/>
            </w:tcBorders>
            <w:shd w:val="clear" w:color="000000" w:fill="9BC2E6"/>
            <w:vAlign w:val="bottom"/>
            <w:hideMark/>
          </w:tcPr>
          <w:p w14:paraId="3E78198F" w14:textId="77777777" w:rsidR="009D0FBA" w:rsidRPr="009D0FBA" w:rsidRDefault="009D0FBA" w:rsidP="009D0FBA">
            <w:pPr>
              <w:jc w:val="center"/>
              <w:rPr>
                <w:rFonts w:ascii="Arial" w:eastAsia="Times New Roman" w:hAnsi="Arial" w:cs="Arial"/>
                <w:b/>
                <w:bCs/>
                <w:sz w:val="20"/>
                <w:szCs w:val="20"/>
              </w:rPr>
            </w:pPr>
            <w:r w:rsidRPr="009D0FBA">
              <w:rPr>
                <w:rFonts w:ascii="Arial" w:eastAsia="Times New Roman" w:hAnsi="Arial" w:cs="Arial"/>
                <w:b/>
                <w:bCs/>
                <w:sz w:val="20"/>
                <w:szCs w:val="20"/>
              </w:rPr>
              <w:t>Scientific Name</w:t>
            </w:r>
          </w:p>
        </w:tc>
        <w:tc>
          <w:tcPr>
            <w:tcW w:w="900" w:type="dxa"/>
            <w:tcBorders>
              <w:top w:val="single" w:sz="4" w:space="0" w:color="auto"/>
              <w:left w:val="nil"/>
              <w:bottom w:val="single" w:sz="4" w:space="0" w:color="auto"/>
              <w:right w:val="single" w:sz="4" w:space="0" w:color="auto"/>
            </w:tcBorders>
            <w:shd w:val="clear" w:color="000000" w:fill="9BC2E6"/>
            <w:vAlign w:val="bottom"/>
            <w:hideMark/>
          </w:tcPr>
          <w:p w14:paraId="207966FB" w14:textId="77777777" w:rsidR="009D0FBA" w:rsidRPr="009D0FBA" w:rsidRDefault="009D0FBA" w:rsidP="009D0FBA">
            <w:pPr>
              <w:jc w:val="center"/>
              <w:rPr>
                <w:rFonts w:ascii="Arial" w:eastAsia="Times New Roman" w:hAnsi="Arial" w:cs="Arial"/>
                <w:b/>
                <w:bCs/>
                <w:sz w:val="20"/>
                <w:szCs w:val="20"/>
              </w:rPr>
            </w:pPr>
            <w:r w:rsidRPr="009D0FBA">
              <w:rPr>
                <w:rFonts w:ascii="Arial" w:eastAsia="Times New Roman" w:hAnsi="Arial" w:cs="Arial"/>
                <w:b/>
                <w:bCs/>
                <w:sz w:val="20"/>
                <w:szCs w:val="20"/>
              </w:rPr>
              <w:t xml:space="preserve">PLS </w:t>
            </w:r>
            <w:proofErr w:type="spellStart"/>
            <w:r w:rsidRPr="009D0FBA">
              <w:rPr>
                <w:rFonts w:ascii="Arial" w:eastAsia="Times New Roman" w:hAnsi="Arial" w:cs="Arial"/>
                <w:b/>
                <w:bCs/>
                <w:sz w:val="20"/>
                <w:szCs w:val="20"/>
              </w:rPr>
              <w:t>lb</w:t>
            </w:r>
            <w:proofErr w:type="spellEnd"/>
            <w:r w:rsidRPr="009D0FBA">
              <w:rPr>
                <w:rFonts w:ascii="Arial" w:eastAsia="Times New Roman" w:hAnsi="Arial" w:cs="Arial"/>
                <w:b/>
                <w:bCs/>
                <w:sz w:val="20"/>
                <w:szCs w:val="20"/>
              </w:rPr>
              <w:t>/ac</w:t>
            </w:r>
          </w:p>
        </w:tc>
        <w:tc>
          <w:tcPr>
            <w:tcW w:w="1170" w:type="dxa"/>
            <w:tcBorders>
              <w:top w:val="single" w:sz="4" w:space="0" w:color="auto"/>
              <w:left w:val="nil"/>
              <w:bottom w:val="single" w:sz="4" w:space="0" w:color="auto"/>
              <w:right w:val="single" w:sz="4" w:space="0" w:color="auto"/>
            </w:tcBorders>
            <w:shd w:val="clear" w:color="000000" w:fill="9BC2E6"/>
            <w:vAlign w:val="bottom"/>
            <w:hideMark/>
          </w:tcPr>
          <w:p w14:paraId="6C707177" w14:textId="77777777" w:rsidR="009D0FBA" w:rsidRPr="009D0FBA" w:rsidRDefault="009D0FBA" w:rsidP="009D0FBA">
            <w:pPr>
              <w:jc w:val="center"/>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 xml:space="preserve">% by PLS </w:t>
            </w:r>
            <w:proofErr w:type="spellStart"/>
            <w:r w:rsidRPr="009D0FBA">
              <w:rPr>
                <w:rFonts w:ascii="Arial" w:eastAsia="Times New Roman" w:hAnsi="Arial" w:cs="Arial"/>
                <w:b/>
                <w:bCs/>
                <w:color w:val="000000"/>
                <w:sz w:val="20"/>
                <w:szCs w:val="20"/>
              </w:rPr>
              <w:t>lb</w:t>
            </w:r>
            <w:proofErr w:type="spellEnd"/>
            <w:r w:rsidRPr="009D0FBA">
              <w:rPr>
                <w:rFonts w:ascii="Arial" w:eastAsia="Times New Roman" w:hAnsi="Arial" w:cs="Arial"/>
                <w:b/>
                <w:bCs/>
                <w:color w:val="000000"/>
                <w:sz w:val="20"/>
                <w:szCs w:val="20"/>
              </w:rPr>
              <w:t>/ac</w:t>
            </w:r>
          </w:p>
        </w:tc>
        <w:tc>
          <w:tcPr>
            <w:tcW w:w="1106" w:type="dxa"/>
            <w:tcBorders>
              <w:top w:val="single" w:sz="4" w:space="0" w:color="auto"/>
              <w:left w:val="nil"/>
              <w:bottom w:val="single" w:sz="4" w:space="0" w:color="auto"/>
              <w:right w:val="single" w:sz="4" w:space="0" w:color="auto"/>
            </w:tcBorders>
            <w:shd w:val="clear" w:color="000000" w:fill="9BC2E6"/>
            <w:vAlign w:val="bottom"/>
            <w:hideMark/>
          </w:tcPr>
          <w:p w14:paraId="30BDCA9B" w14:textId="77777777" w:rsidR="009D0FBA" w:rsidRPr="009D0FBA" w:rsidRDefault="009D0FBA" w:rsidP="009D0FBA">
            <w:pPr>
              <w:jc w:val="center"/>
              <w:rPr>
                <w:rFonts w:ascii="Arial" w:eastAsia="Times New Roman" w:hAnsi="Arial" w:cs="Arial"/>
                <w:b/>
                <w:bCs/>
                <w:sz w:val="20"/>
                <w:szCs w:val="20"/>
              </w:rPr>
            </w:pPr>
            <w:r w:rsidRPr="009D0FBA">
              <w:rPr>
                <w:rFonts w:ascii="Arial" w:eastAsia="Times New Roman" w:hAnsi="Arial" w:cs="Arial"/>
                <w:b/>
                <w:bCs/>
                <w:sz w:val="20"/>
                <w:szCs w:val="20"/>
              </w:rPr>
              <w:t>Seeds/ft2</w:t>
            </w:r>
          </w:p>
        </w:tc>
        <w:tc>
          <w:tcPr>
            <w:tcW w:w="694" w:type="dxa"/>
            <w:tcBorders>
              <w:top w:val="single" w:sz="4" w:space="0" w:color="auto"/>
              <w:left w:val="nil"/>
              <w:bottom w:val="single" w:sz="4" w:space="0" w:color="auto"/>
              <w:right w:val="single" w:sz="4" w:space="0" w:color="auto"/>
            </w:tcBorders>
            <w:shd w:val="clear" w:color="000000" w:fill="9BC2E6"/>
            <w:vAlign w:val="bottom"/>
            <w:hideMark/>
          </w:tcPr>
          <w:p w14:paraId="7C127731" w14:textId="77777777" w:rsidR="009D0FBA" w:rsidRPr="009D0FBA" w:rsidRDefault="009D0FBA" w:rsidP="009D0FBA">
            <w:pPr>
              <w:jc w:val="center"/>
              <w:rPr>
                <w:rFonts w:ascii="Arial" w:eastAsia="Times New Roman" w:hAnsi="Arial" w:cs="Arial"/>
                <w:b/>
                <w:bCs/>
                <w:sz w:val="20"/>
                <w:szCs w:val="20"/>
              </w:rPr>
            </w:pPr>
            <w:r w:rsidRPr="009D0FBA">
              <w:rPr>
                <w:rFonts w:ascii="Arial" w:eastAsia="Times New Roman" w:hAnsi="Arial" w:cs="Arial"/>
                <w:b/>
                <w:bCs/>
                <w:sz w:val="20"/>
                <w:szCs w:val="20"/>
              </w:rPr>
              <w:t>% by Seeds/ft2</w:t>
            </w:r>
          </w:p>
        </w:tc>
      </w:tr>
      <w:tr w:rsidR="009D0FBA" w:rsidRPr="009D0FBA" w14:paraId="5084840A"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4DC1292E"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boucur</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06559D43"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Sideoats</w:t>
            </w:r>
            <w:proofErr w:type="spellEnd"/>
            <w:r w:rsidRPr="009D0FBA">
              <w:rPr>
                <w:rFonts w:ascii="Arial" w:eastAsia="Times New Roman" w:hAnsi="Arial" w:cs="Arial"/>
                <w:color w:val="000000"/>
                <w:sz w:val="20"/>
                <w:szCs w:val="20"/>
              </w:rPr>
              <w:t xml:space="preserve"> Grama</w:t>
            </w:r>
          </w:p>
        </w:tc>
        <w:tc>
          <w:tcPr>
            <w:tcW w:w="2880" w:type="dxa"/>
            <w:tcBorders>
              <w:top w:val="nil"/>
              <w:left w:val="nil"/>
              <w:bottom w:val="single" w:sz="4" w:space="0" w:color="auto"/>
              <w:right w:val="single" w:sz="4" w:space="0" w:color="auto"/>
            </w:tcBorders>
            <w:shd w:val="clear" w:color="000000" w:fill="A9D08E"/>
            <w:noWrap/>
            <w:vAlign w:val="bottom"/>
            <w:hideMark/>
          </w:tcPr>
          <w:p w14:paraId="1D7EB4C3"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Bouteloua</w:t>
            </w:r>
            <w:proofErr w:type="spellEnd"/>
            <w:r w:rsidRPr="009D0FBA">
              <w:rPr>
                <w:rFonts w:ascii="Arial" w:eastAsia="Times New Roman" w:hAnsi="Arial" w:cs="Arial"/>
                <w:color w:val="000000"/>
                <w:sz w:val="20"/>
                <w:szCs w:val="20"/>
              </w:rPr>
              <w:t xml:space="preserve"> </w:t>
            </w:r>
            <w:proofErr w:type="spellStart"/>
            <w:r w:rsidRPr="009D0FBA">
              <w:rPr>
                <w:rFonts w:ascii="Arial" w:eastAsia="Times New Roman" w:hAnsi="Arial" w:cs="Arial"/>
                <w:color w:val="000000"/>
                <w:sz w:val="20"/>
                <w:szCs w:val="20"/>
              </w:rPr>
              <w:t>curtipendula</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20E950C4"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1.50</w:t>
            </w:r>
          </w:p>
        </w:tc>
        <w:tc>
          <w:tcPr>
            <w:tcW w:w="1170" w:type="dxa"/>
            <w:tcBorders>
              <w:top w:val="nil"/>
              <w:left w:val="nil"/>
              <w:bottom w:val="single" w:sz="4" w:space="0" w:color="auto"/>
              <w:right w:val="single" w:sz="4" w:space="0" w:color="auto"/>
            </w:tcBorders>
            <w:shd w:val="clear" w:color="auto" w:fill="auto"/>
            <w:noWrap/>
            <w:vAlign w:val="bottom"/>
            <w:hideMark/>
          </w:tcPr>
          <w:p w14:paraId="31CC4453"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6.49%</w:t>
            </w:r>
          </w:p>
        </w:tc>
        <w:tc>
          <w:tcPr>
            <w:tcW w:w="1106" w:type="dxa"/>
            <w:tcBorders>
              <w:top w:val="nil"/>
              <w:left w:val="nil"/>
              <w:bottom w:val="single" w:sz="4" w:space="0" w:color="auto"/>
              <w:right w:val="single" w:sz="4" w:space="0" w:color="auto"/>
            </w:tcBorders>
            <w:shd w:val="clear" w:color="auto" w:fill="auto"/>
            <w:noWrap/>
            <w:vAlign w:val="bottom"/>
            <w:hideMark/>
          </w:tcPr>
          <w:p w14:paraId="0465E4D2"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3.31</w:t>
            </w:r>
          </w:p>
        </w:tc>
        <w:tc>
          <w:tcPr>
            <w:tcW w:w="694" w:type="dxa"/>
            <w:tcBorders>
              <w:top w:val="nil"/>
              <w:left w:val="nil"/>
              <w:bottom w:val="single" w:sz="4" w:space="0" w:color="auto"/>
              <w:right w:val="single" w:sz="4" w:space="0" w:color="auto"/>
            </w:tcBorders>
            <w:shd w:val="clear" w:color="auto" w:fill="auto"/>
            <w:noWrap/>
            <w:vAlign w:val="bottom"/>
            <w:hideMark/>
          </w:tcPr>
          <w:p w14:paraId="5407F666"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6.24%</w:t>
            </w:r>
          </w:p>
        </w:tc>
      </w:tr>
      <w:tr w:rsidR="009D0FBA" w:rsidRPr="009D0FBA" w14:paraId="6B481027"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06CA5D6F"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bougra</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1C6F3116"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Blue Grama</w:t>
            </w:r>
          </w:p>
        </w:tc>
        <w:tc>
          <w:tcPr>
            <w:tcW w:w="2880" w:type="dxa"/>
            <w:tcBorders>
              <w:top w:val="nil"/>
              <w:left w:val="nil"/>
              <w:bottom w:val="single" w:sz="4" w:space="0" w:color="auto"/>
              <w:right w:val="single" w:sz="4" w:space="0" w:color="auto"/>
            </w:tcBorders>
            <w:shd w:val="clear" w:color="000000" w:fill="A9D08E"/>
            <w:noWrap/>
            <w:vAlign w:val="bottom"/>
            <w:hideMark/>
          </w:tcPr>
          <w:p w14:paraId="70BAD096"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Bouteloua</w:t>
            </w:r>
            <w:proofErr w:type="spellEnd"/>
            <w:r w:rsidRPr="009D0FBA">
              <w:rPr>
                <w:rFonts w:ascii="Arial" w:eastAsia="Times New Roman" w:hAnsi="Arial" w:cs="Arial"/>
                <w:color w:val="000000"/>
                <w:sz w:val="20"/>
                <w:szCs w:val="20"/>
              </w:rPr>
              <w:t xml:space="preserve"> </w:t>
            </w:r>
            <w:proofErr w:type="spellStart"/>
            <w:r w:rsidRPr="009D0FBA">
              <w:rPr>
                <w:rFonts w:ascii="Arial" w:eastAsia="Times New Roman" w:hAnsi="Arial" w:cs="Arial"/>
                <w:color w:val="000000"/>
                <w:sz w:val="20"/>
                <w:szCs w:val="20"/>
              </w:rPr>
              <w:t>gracilis</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49E10227"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0.30</w:t>
            </w:r>
          </w:p>
        </w:tc>
        <w:tc>
          <w:tcPr>
            <w:tcW w:w="1170" w:type="dxa"/>
            <w:tcBorders>
              <w:top w:val="nil"/>
              <w:left w:val="nil"/>
              <w:bottom w:val="single" w:sz="4" w:space="0" w:color="auto"/>
              <w:right w:val="single" w:sz="4" w:space="0" w:color="auto"/>
            </w:tcBorders>
            <w:shd w:val="clear" w:color="auto" w:fill="auto"/>
            <w:noWrap/>
            <w:vAlign w:val="bottom"/>
            <w:hideMark/>
          </w:tcPr>
          <w:p w14:paraId="581C6F27"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1.30%</w:t>
            </w:r>
          </w:p>
        </w:tc>
        <w:tc>
          <w:tcPr>
            <w:tcW w:w="1106" w:type="dxa"/>
            <w:tcBorders>
              <w:top w:val="nil"/>
              <w:left w:val="nil"/>
              <w:bottom w:val="single" w:sz="4" w:space="0" w:color="auto"/>
              <w:right w:val="single" w:sz="4" w:space="0" w:color="auto"/>
            </w:tcBorders>
            <w:shd w:val="clear" w:color="auto" w:fill="auto"/>
            <w:noWrap/>
            <w:vAlign w:val="bottom"/>
            <w:hideMark/>
          </w:tcPr>
          <w:p w14:paraId="55E114F7"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4.41</w:t>
            </w:r>
          </w:p>
        </w:tc>
        <w:tc>
          <w:tcPr>
            <w:tcW w:w="694" w:type="dxa"/>
            <w:tcBorders>
              <w:top w:val="nil"/>
              <w:left w:val="nil"/>
              <w:bottom w:val="single" w:sz="4" w:space="0" w:color="auto"/>
              <w:right w:val="single" w:sz="4" w:space="0" w:color="auto"/>
            </w:tcBorders>
            <w:shd w:val="clear" w:color="auto" w:fill="auto"/>
            <w:noWrap/>
            <w:vAlign w:val="bottom"/>
            <w:hideMark/>
          </w:tcPr>
          <w:p w14:paraId="36EE33DA"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8.33%</w:t>
            </w:r>
          </w:p>
        </w:tc>
      </w:tr>
      <w:tr w:rsidR="009D0FBA" w:rsidRPr="009D0FBA" w14:paraId="0A39E0E8"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46A09FD4"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brokal</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1B206501"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Prairie Brome</w:t>
            </w:r>
          </w:p>
        </w:tc>
        <w:tc>
          <w:tcPr>
            <w:tcW w:w="2880" w:type="dxa"/>
            <w:tcBorders>
              <w:top w:val="nil"/>
              <w:left w:val="nil"/>
              <w:bottom w:val="single" w:sz="4" w:space="0" w:color="auto"/>
              <w:right w:val="single" w:sz="4" w:space="0" w:color="auto"/>
            </w:tcBorders>
            <w:shd w:val="clear" w:color="000000" w:fill="A9D08E"/>
            <w:noWrap/>
            <w:vAlign w:val="bottom"/>
            <w:hideMark/>
          </w:tcPr>
          <w:p w14:paraId="44CF9ACC"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 xml:space="preserve">Bromus </w:t>
            </w:r>
            <w:proofErr w:type="spellStart"/>
            <w:r w:rsidRPr="009D0FBA">
              <w:rPr>
                <w:rFonts w:ascii="Arial" w:eastAsia="Times New Roman" w:hAnsi="Arial" w:cs="Arial"/>
                <w:color w:val="000000"/>
                <w:sz w:val="20"/>
                <w:szCs w:val="20"/>
              </w:rPr>
              <w:t>kalmii</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6B72703B"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0.85</w:t>
            </w:r>
          </w:p>
        </w:tc>
        <w:tc>
          <w:tcPr>
            <w:tcW w:w="1170" w:type="dxa"/>
            <w:tcBorders>
              <w:top w:val="nil"/>
              <w:left w:val="nil"/>
              <w:bottom w:val="single" w:sz="4" w:space="0" w:color="auto"/>
              <w:right w:val="single" w:sz="4" w:space="0" w:color="auto"/>
            </w:tcBorders>
            <w:shd w:val="clear" w:color="auto" w:fill="auto"/>
            <w:noWrap/>
            <w:vAlign w:val="bottom"/>
            <w:hideMark/>
          </w:tcPr>
          <w:p w14:paraId="20486565"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3.68%</w:t>
            </w:r>
          </w:p>
        </w:tc>
        <w:tc>
          <w:tcPr>
            <w:tcW w:w="1106" w:type="dxa"/>
            <w:tcBorders>
              <w:top w:val="nil"/>
              <w:left w:val="nil"/>
              <w:bottom w:val="single" w:sz="4" w:space="0" w:color="auto"/>
              <w:right w:val="single" w:sz="4" w:space="0" w:color="auto"/>
            </w:tcBorders>
            <w:shd w:val="clear" w:color="auto" w:fill="auto"/>
            <w:noWrap/>
            <w:vAlign w:val="bottom"/>
            <w:hideMark/>
          </w:tcPr>
          <w:p w14:paraId="1466A524"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2.50</w:t>
            </w:r>
          </w:p>
        </w:tc>
        <w:tc>
          <w:tcPr>
            <w:tcW w:w="694" w:type="dxa"/>
            <w:tcBorders>
              <w:top w:val="nil"/>
              <w:left w:val="nil"/>
              <w:bottom w:val="single" w:sz="4" w:space="0" w:color="auto"/>
              <w:right w:val="single" w:sz="4" w:space="0" w:color="auto"/>
            </w:tcBorders>
            <w:shd w:val="clear" w:color="auto" w:fill="auto"/>
            <w:noWrap/>
            <w:vAlign w:val="bottom"/>
            <w:hideMark/>
          </w:tcPr>
          <w:p w14:paraId="40DA1A90"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4.72%</w:t>
            </w:r>
          </w:p>
        </w:tc>
      </w:tr>
      <w:tr w:rsidR="009D0FBA" w:rsidRPr="009D0FBA" w14:paraId="4F0DEF22"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975C88B"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elycan</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669B7966"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Canada Wild Rye</w:t>
            </w:r>
          </w:p>
        </w:tc>
        <w:tc>
          <w:tcPr>
            <w:tcW w:w="2880" w:type="dxa"/>
            <w:tcBorders>
              <w:top w:val="nil"/>
              <w:left w:val="nil"/>
              <w:bottom w:val="single" w:sz="4" w:space="0" w:color="auto"/>
              <w:right w:val="single" w:sz="4" w:space="0" w:color="auto"/>
            </w:tcBorders>
            <w:shd w:val="clear" w:color="000000" w:fill="A9D08E"/>
            <w:noWrap/>
            <w:vAlign w:val="bottom"/>
            <w:hideMark/>
          </w:tcPr>
          <w:p w14:paraId="758D3663"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Elymus canadensis</w:t>
            </w:r>
          </w:p>
        </w:tc>
        <w:tc>
          <w:tcPr>
            <w:tcW w:w="900" w:type="dxa"/>
            <w:tcBorders>
              <w:top w:val="nil"/>
              <w:left w:val="nil"/>
              <w:bottom w:val="single" w:sz="4" w:space="0" w:color="auto"/>
              <w:right w:val="single" w:sz="4" w:space="0" w:color="auto"/>
            </w:tcBorders>
            <w:shd w:val="clear" w:color="auto" w:fill="auto"/>
            <w:noWrap/>
            <w:vAlign w:val="bottom"/>
            <w:hideMark/>
          </w:tcPr>
          <w:p w14:paraId="456C693A"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0.80</w:t>
            </w:r>
          </w:p>
        </w:tc>
        <w:tc>
          <w:tcPr>
            <w:tcW w:w="1170" w:type="dxa"/>
            <w:tcBorders>
              <w:top w:val="nil"/>
              <w:left w:val="nil"/>
              <w:bottom w:val="single" w:sz="4" w:space="0" w:color="auto"/>
              <w:right w:val="single" w:sz="4" w:space="0" w:color="auto"/>
            </w:tcBorders>
            <w:shd w:val="clear" w:color="auto" w:fill="auto"/>
            <w:noWrap/>
            <w:vAlign w:val="bottom"/>
            <w:hideMark/>
          </w:tcPr>
          <w:p w14:paraId="6B0DBA3F"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3.46%</w:t>
            </w:r>
          </w:p>
        </w:tc>
        <w:tc>
          <w:tcPr>
            <w:tcW w:w="1106" w:type="dxa"/>
            <w:tcBorders>
              <w:top w:val="nil"/>
              <w:left w:val="nil"/>
              <w:bottom w:val="single" w:sz="4" w:space="0" w:color="auto"/>
              <w:right w:val="single" w:sz="4" w:space="0" w:color="auto"/>
            </w:tcBorders>
            <w:shd w:val="clear" w:color="auto" w:fill="auto"/>
            <w:noWrap/>
            <w:vAlign w:val="bottom"/>
            <w:hideMark/>
          </w:tcPr>
          <w:p w14:paraId="08AEFD79"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1.53</w:t>
            </w:r>
          </w:p>
        </w:tc>
        <w:tc>
          <w:tcPr>
            <w:tcW w:w="694" w:type="dxa"/>
            <w:tcBorders>
              <w:top w:val="nil"/>
              <w:left w:val="nil"/>
              <w:bottom w:val="single" w:sz="4" w:space="0" w:color="auto"/>
              <w:right w:val="single" w:sz="4" w:space="0" w:color="auto"/>
            </w:tcBorders>
            <w:shd w:val="clear" w:color="auto" w:fill="auto"/>
            <w:noWrap/>
            <w:vAlign w:val="bottom"/>
            <w:hideMark/>
          </w:tcPr>
          <w:p w14:paraId="3C3EC4BA"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2.89%</w:t>
            </w:r>
          </w:p>
        </w:tc>
      </w:tr>
      <w:tr w:rsidR="009D0FBA" w:rsidRPr="009D0FBA" w14:paraId="56F750CF"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49BC3D7"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elyhys</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46B4FCCD"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Bottlebrush Grass</w:t>
            </w:r>
          </w:p>
        </w:tc>
        <w:tc>
          <w:tcPr>
            <w:tcW w:w="2880" w:type="dxa"/>
            <w:tcBorders>
              <w:top w:val="nil"/>
              <w:left w:val="nil"/>
              <w:bottom w:val="single" w:sz="4" w:space="0" w:color="auto"/>
              <w:right w:val="single" w:sz="4" w:space="0" w:color="auto"/>
            </w:tcBorders>
            <w:shd w:val="clear" w:color="000000" w:fill="A9D08E"/>
            <w:noWrap/>
            <w:vAlign w:val="bottom"/>
            <w:hideMark/>
          </w:tcPr>
          <w:p w14:paraId="28531B51"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 xml:space="preserve">Elymus </w:t>
            </w:r>
            <w:proofErr w:type="spellStart"/>
            <w:r w:rsidRPr="009D0FBA">
              <w:rPr>
                <w:rFonts w:ascii="Arial" w:eastAsia="Times New Roman" w:hAnsi="Arial" w:cs="Arial"/>
                <w:color w:val="000000"/>
                <w:sz w:val="20"/>
                <w:szCs w:val="20"/>
              </w:rPr>
              <w:t>hystrix</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174BB9E9"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0.10</w:t>
            </w:r>
          </w:p>
        </w:tc>
        <w:tc>
          <w:tcPr>
            <w:tcW w:w="1170" w:type="dxa"/>
            <w:tcBorders>
              <w:top w:val="nil"/>
              <w:left w:val="nil"/>
              <w:bottom w:val="single" w:sz="4" w:space="0" w:color="auto"/>
              <w:right w:val="single" w:sz="4" w:space="0" w:color="auto"/>
            </w:tcBorders>
            <w:shd w:val="clear" w:color="auto" w:fill="auto"/>
            <w:noWrap/>
            <w:vAlign w:val="bottom"/>
            <w:hideMark/>
          </w:tcPr>
          <w:p w14:paraId="4F27DE0F"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0.43%</w:t>
            </w:r>
          </w:p>
        </w:tc>
        <w:tc>
          <w:tcPr>
            <w:tcW w:w="1106" w:type="dxa"/>
            <w:tcBorders>
              <w:top w:val="nil"/>
              <w:left w:val="nil"/>
              <w:bottom w:val="single" w:sz="4" w:space="0" w:color="auto"/>
              <w:right w:val="single" w:sz="4" w:space="0" w:color="auto"/>
            </w:tcBorders>
            <w:shd w:val="clear" w:color="auto" w:fill="auto"/>
            <w:noWrap/>
            <w:vAlign w:val="bottom"/>
            <w:hideMark/>
          </w:tcPr>
          <w:p w14:paraId="477ECB0D"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0.28</w:t>
            </w:r>
          </w:p>
        </w:tc>
        <w:tc>
          <w:tcPr>
            <w:tcW w:w="694" w:type="dxa"/>
            <w:tcBorders>
              <w:top w:val="nil"/>
              <w:left w:val="nil"/>
              <w:bottom w:val="single" w:sz="4" w:space="0" w:color="auto"/>
              <w:right w:val="single" w:sz="4" w:space="0" w:color="auto"/>
            </w:tcBorders>
            <w:shd w:val="clear" w:color="auto" w:fill="auto"/>
            <w:noWrap/>
            <w:vAlign w:val="bottom"/>
            <w:hideMark/>
          </w:tcPr>
          <w:p w14:paraId="66409740"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0.53%</w:t>
            </w:r>
          </w:p>
        </w:tc>
      </w:tr>
      <w:tr w:rsidR="009D0FBA" w:rsidRPr="009D0FBA" w14:paraId="71E6FE0A"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8E3F7E1"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elyvil</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0CA9550C"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Silky Wild Rye</w:t>
            </w:r>
          </w:p>
        </w:tc>
        <w:tc>
          <w:tcPr>
            <w:tcW w:w="2880" w:type="dxa"/>
            <w:tcBorders>
              <w:top w:val="nil"/>
              <w:left w:val="nil"/>
              <w:bottom w:val="single" w:sz="4" w:space="0" w:color="auto"/>
              <w:right w:val="single" w:sz="4" w:space="0" w:color="auto"/>
            </w:tcBorders>
            <w:shd w:val="clear" w:color="000000" w:fill="A9D08E"/>
            <w:noWrap/>
            <w:vAlign w:val="bottom"/>
            <w:hideMark/>
          </w:tcPr>
          <w:p w14:paraId="57306CD3"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 xml:space="preserve">Elymus </w:t>
            </w:r>
            <w:proofErr w:type="spellStart"/>
            <w:r w:rsidRPr="009D0FBA">
              <w:rPr>
                <w:rFonts w:ascii="Arial" w:eastAsia="Times New Roman" w:hAnsi="Arial" w:cs="Arial"/>
                <w:color w:val="000000"/>
                <w:sz w:val="20"/>
                <w:szCs w:val="20"/>
              </w:rPr>
              <w:t>villosus</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77CBAEB8"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0.25</w:t>
            </w:r>
          </w:p>
        </w:tc>
        <w:tc>
          <w:tcPr>
            <w:tcW w:w="1170" w:type="dxa"/>
            <w:tcBorders>
              <w:top w:val="nil"/>
              <w:left w:val="nil"/>
              <w:bottom w:val="single" w:sz="4" w:space="0" w:color="auto"/>
              <w:right w:val="single" w:sz="4" w:space="0" w:color="auto"/>
            </w:tcBorders>
            <w:shd w:val="clear" w:color="auto" w:fill="auto"/>
            <w:noWrap/>
            <w:vAlign w:val="bottom"/>
            <w:hideMark/>
          </w:tcPr>
          <w:p w14:paraId="5BFAC167"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1.08%</w:t>
            </w:r>
          </w:p>
        </w:tc>
        <w:tc>
          <w:tcPr>
            <w:tcW w:w="1106" w:type="dxa"/>
            <w:tcBorders>
              <w:top w:val="nil"/>
              <w:left w:val="nil"/>
              <w:bottom w:val="single" w:sz="4" w:space="0" w:color="auto"/>
              <w:right w:val="single" w:sz="4" w:space="0" w:color="auto"/>
            </w:tcBorders>
            <w:shd w:val="clear" w:color="auto" w:fill="auto"/>
            <w:noWrap/>
            <w:vAlign w:val="bottom"/>
            <w:hideMark/>
          </w:tcPr>
          <w:p w14:paraId="3DDA704C"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0.51</w:t>
            </w:r>
          </w:p>
        </w:tc>
        <w:tc>
          <w:tcPr>
            <w:tcW w:w="694" w:type="dxa"/>
            <w:tcBorders>
              <w:top w:val="nil"/>
              <w:left w:val="nil"/>
              <w:bottom w:val="single" w:sz="4" w:space="0" w:color="auto"/>
              <w:right w:val="single" w:sz="4" w:space="0" w:color="auto"/>
            </w:tcBorders>
            <w:shd w:val="clear" w:color="auto" w:fill="auto"/>
            <w:noWrap/>
            <w:vAlign w:val="bottom"/>
            <w:hideMark/>
          </w:tcPr>
          <w:p w14:paraId="0012F253"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0.95%</w:t>
            </w:r>
          </w:p>
        </w:tc>
      </w:tr>
      <w:tr w:rsidR="009D0FBA" w:rsidRPr="009D0FBA" w14:paraId="6B429526"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45ACC610"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elyvir</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103721D1"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Virginia Wild Rye</w:t>
            </w:r>
          </w:p>
        </w:tc>
        <w:tc>
          <w:tcPr>
            <w:tcW w:w="2880" w:type="dxa"/>
            <w:tcBorders>
              <w:top w:val="nil"/>
              <w:left w:val="nil"/>
              <w:bottom w:val="single" w:sz="4" w:space="0" w:color="auto"/>
              <w:right w:val="single" w:sz="4" w:space="0" w:color="auto"/>
            </w:tcBorders>
            <w:shd w:val="clear" w:color="000000" w:fill="A9D08E"/>
            <w:noWrap/>
            <w:vAlign w:val="bottom"/>
            <w:hideMark/>
          </w:tcPr>
          <w:p w14:paraId="2E1905C6"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 xml:space="preserve">Elymus </w:t>
            </w:r>
            <w:proofErr w:type="spellStart"/>
            <w:r w:rsidRPr="009D0FBA">
              <w:rPr>
                <w:rFonts w:ascii="Arial" w:eastAsia="Times New Roman" w:hAnsi="Arial" w:cs="Arial"/>
                <w:color w:val="000000"/>
                <w:sz w:val="20"/>
                <w:szCs w:val="20"/>
              </w:rPr>
              <w:t>virginicus</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10FF5546"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0.65</w:t>
            </w:r>
          </w:p>
        </w:tc>
        <w:tc>
          <w:tcPr>
            <w:tcW w:w="1170" w:type="dxa"/>
            <w:tcBorders>
              <w:top w:val="nil"/>
              <w:left w:val="nil"/>
              <w:bottom w:val="single" w:sz="4" w:space="0" w:color="auto"/>
              <w:right w:val="single" w:sz="4" w:space="0" w:color="auto"/>
            </w:tcBorders>
            <w:shd w:val="clear" w:color="auto" w:fill="auto"/>
            <w:noWrap/>
            <w:vAlign w:val="bottom"/>
            <w:hideMark/>
          </w:tcPr>
          <w:p w14:paraId="2E7717D3"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2.81%</w:t>
            </w:r>
          </w:p>
        </w:tc>
        <w:tc>
          <w:tcPr>
            <w:tcW w:w="1106" w:type="dxa"/>
            <w:tcBorders>
              <w:top w:val="nil"/>
              <w:left w:val="nil"/>
              <w:bottom w:val="single" w:sz="4" w:space="0" w:color="auto"/>
              <w:right w:val="single" w:sz="4" w:space="0" w:color="auto"/>
            </w:tcBorders>
            <w:shd w:val="clear" w:color="auto" w:fill="auto"/>
            <w:noWrap/>
            <w:vAlign w:val="bottom"/>
            <w:hideMark/>
          </w:tcPr>
          <w:p w14:paraId="29D9D8BD"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1.00</w:t>
            </w:r>
          </w:p>
        </w:tc>
        <w:tc>
          <w:tcPr>
            <w:tcW w:w="694" w:type="dxa"/>
            <w:tcBorders>
              <w:top w:val="nil"/>
              <w:left w:val="nil"/>
              <w:bottom w:val="single" w:sz="4" w:space="0" w:color="auto"/>
              <w:right w:val="single" w:sz="4" w:space="0" w:color="auto"/>
            </w:tcBorders>
            <w:shd w:val="clear" w:color="auto" w:fill="auto"/>
            <w:noWrap/>
            <w:vAlign w:val="bottom"/>
            <w:hideMark/>
          </w:tcPr>
          <w:p w14:paraId="255C9165"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1.89%</w:t>
            </w:r>
          </w:p>
        </w:tc>
      </w:tr>
      <w:tr w:rsidR="009D0FBA" w:rsidRPr="009D0FBA" w14:paraId="6625BD29"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460BB40"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fessub</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3DFC8E8C"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Nodding Fescue</w:t>
            </w:r>
          </w:p>
        </w:tc>
        <w:tc>
          <w:tcPr>
            <w:tcW w:w="2880" w:type="dxa"/>
            <w:tcBorders>
              <w:top w:val="nil"/>
              <w:left w:val="nil"/>
              <w:bottom w:val="single" w:sz="4" w:space="0" w:color="auto"/>
              <w:right w:val="single" w:sz="4" w:space="0" w:color="auto"/>
            </w:tcBorders>
            <w:shd w:val="clear" w:color="000000" w:fill="A9D08E"/>
            <w:noWrap/>
            <w:vAlign w:val="bottom"/>
            <w:hideMark/>
          </w:tcPr>
          <w:p w14:paraId="1CF553EC"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 xml:space="preserve">Festuca </w:t>
            </w:r>
            <w:proofErr w:type="spellStart"/>
            <w:r w:rsidRPr="009D0FBA">
              <w:rPr>
                <w:rFonts w:ascii="Arial" w:eastAsia="Times New Roman" w:hAnsi="Arial" w:cs="Arial"/>
                <w:color w:val="000000"/>
                <w:sz w:val="20"/>
                <w:szCs w:val="20"/>
              </w:rPr>
              <w:t>subverticillata</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0AA14E05"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0.05</w:t>
            </w:r>
          </w:p>
        </w:tc>
        <w:tc>
          <w:tcPr>
            <w:tcW w:w="1170" w:type="dxa"/>
            <w:tcBorders>
              <w:top w:val="nil"/>
              <w:left w:val="nil"/>
              <w:bottom w:val="single" w:sz="4" w:space="0" w:color="auto"/>
              <w:right w:val="single" w:sz="4" w:space="0" w:color="auto"/>
            </w:tcBorders>
            <w:shd w:val="clear" w:color="auto" w:fill="auto"/>
            <w:noWrap/>
            <w:vAlign w:val="bottom"/>
            <w:hideMark/>
          </w:tcPr>
          <w:p w14:paraId="693ABBA7"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0.22%</w:t>
            </w:r>
          </w:p>
        </w:tc>
        <w:tc>
          <w:tcPr>
            <w:tcW w:w="1106" w:type="dxa"/>
            <w:tcBorders>
              <w:top w:val="nil"/>
              <w:left w:val="nil"/>
              <w:bottom w:val="single" w:sz="4" w:space="0" w:color="auto"/>
              <w:right w:val="single" w:sz="4" w:space="0" w:color="auto"/>
            </w:tcBorders>
            <w:shd w:val="clear" w:color="auto" w:fill="auto"/>
            <w:noWrap/>
            <w:vAlign w:val="bottom"/>
            <w:hideMark/>
          </w:tcPr>
          <w:p w14:paraId="0D3DEB75"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0.37</w:t>
            </w:r>
          </w:p>
        </w:tc>
        <w:tc>
          <w:tcPr>
            <w:tcW w:w="694" w:type="dxa"/>
            <w:tcBorders>
              <w:top w:val="nil"/>
              <w:left w:val="nil"/>
              <w:bottom w:val="single" w:sz="4" w:space="0" w:color="auto"/>
              <w:right w:val="single" w:sz="4" w:space="0" w:color="auto"/>
            </w:tcBorders>
            <w:shd w:val="clear" w:color="auto" w:fill="auto"/>
            <w:noWrap/>
            <w:vAlign w:val="bottom"/>
            <w:hideMark/>
          </w:tcPr>
          <w:p w14:paraId="1B7EAFAA"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0.69%</w:t>
            </w:r>
          </w:p>
        </w:tc>
      </w:tr>
      <w:tr w:rsidR="009D0FBA" w:rsidRPr="009D0FBA" w14:paraId="263FC636"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50D6B4C5"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koemac</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57E1D277"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June Grass</w:t>
            </w:r>
          </w:p>
        </w:tc>
        <w:tc>
          <w:tcPr>
            <w:tcW w:w="2880" w:type="dxa"/>
            <w:tcBorders>
              <w:top w:val="nil"/>
              <w:left w:val="nil"/>
              <w:bottom w:val="single" w:sz="4" w:space="0" w:color="auto"/>
              <w:right w:val="single" w:sz="4" w:space="0" w:color="auto"/>
            </w:tcBorders>
            <w:shd w:val="clear" w:color="000000" w:fill="A9D08E"/>
            <w:noWrap/>
            <w:vAlign w:val="bottom"/>
            <w:hideMark/>
          </w:tcPr>
          <w:p w14:paraId="0D540476"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 xml:space="preserve">Koeleria </w:t>
            </w:r>
            <w:proofErr w:type="spellStart"/>
            <w:r w:rsidRPr="009D0FBA">
              <w:rPr>
                <w:rFonts w:ascii="Arial" w:eastAsia="Times New Roman" w:hAnsi="Arial" w:cs="Arial"/>
                <w:color w:val="000000"/>
                <w:sz w:val="20"/>
                <w:szCs w:val="20"/>
              </w:rPr>
              <w:t>macrantha</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6B3BE58D"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0.10</w:t>
            </w:r>
          </w:p>
        </w:tc>
        <w:tc>
          <w:tcPr>
            <w:tcW w:w="1170" w:type="dxa"/>
            <w:tcBorders>
              <w:top w:val="nil"/>
              <w:left w:val="nil"/>
              <w:bottom w:val="single" w:sz="4" w:space="0" w:color="auto"/>
              <w:right w:val="single" w:sz="4" w:space="0" w:color="auto"/>
            </w:tcBorders>
            <w:shd w:val="clear" w:color="auto" w:fill="auto"/>
            <w:noWrap/>
            <w:vAlign w:val="bottom"/>
            <w:hideMark/>
          </w:tcPr>
          <w:p w14:paraId="73E24562"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0.43%</w:t>
            </w:r>
          </w:p>
        </w:tc>
        <w:tc>
          <w:tcPr>
            <w:tcW w:w="1106" w:type="dxa"/>
            <w:tcBorders>
              <w:top w:val="nil"/>
              <w:left w:val="nil"/>
              <w:bottom w:val="single" w:sz="4" w:space="0" w:color="auto"/>
              <w:right w:val="single" w:sz="4" w:space="0" w:color="auto"/>
            </w:tcBorders>
            <w:shd w:val="clear" w:color="auto" w:fill="auto"/>
            <w:noWrap/>
            <w:vAlign w:val="bottom"/>
            <w:hideMark/>
          </w:tcPr>
          <w:p w14:paraId="4A8CC7D9"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7.35</w:t>
            </w:r>
          </w:p>
        </w:tc>
        <w:tc>
          <w:tcPr>
            <w:tcW w:w="694" w:type="dxa"/>
            <w:tcBorders>
              <w:top w:val="nil"/>
              <w:left w:val="nil"/>
              <w:bottom w:val="single" w:sz="4" w:space="0" w:color="auto"/>
              <w:right w:val="single" w:sz="4" w:space="0" w:color="auto"/>
            </w:tcBorders>
            <w:shd w:val="clear" w:color="auto" w:fill="auto"/>
            <w:noWrap/>
            <w:vAlign w:val="bottom"/>
            <w:hideMark/>
          </w:tcPr>
          <w:p w14:paraId="15DBA46E"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13.88%</w:t>
            </w:r>
          </w:p>
        </w:tc>
      </w:tr>
      <w:tr w:rsidR="009D0FBA" w:rsidRPr="009D0FBA" w14:paraId="6134EA31"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7A3CC92"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schsco</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61EBFDC4"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Little Bluestem</w:t>
            </w:r>
          </w:p>
        </w:tc>
        <w:tc>
          <w:tcPr>
            <w:tcW w:w="2880" w:type="dxa"/>
            <w:tcBorders>
              <w:top w:val="nil"/>
              <w:left w:val="nil"/>
              <w:bottom w:val="single" w:sz="4" w:space="0" w:color="auto"/>
              <w:right w:val="single" w:sz="4" w:space="0" w:color="auto"/>
            </w:tcBorders>
            <w:shd w:val="clear" w:color="000000" w:fill="A9D08E"/>
            <w:noWrap/>
            <w:vAlign w:val="bottom"/>
            <w:hideMark/>
          </w:tcPr>
          <w:p w14:paraId="35732471"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Schizachyrium</w:t>
            </w:r>
            <w:proofErr w:type="spellEnd"/>
            <w:r w:rsidRPr="009D0FBA">
              <w:rPr>
                <w:rFonts w:ascii="Arial" w:eastAsia="Times New Roman" w:hAnsi="Arial" w:cs="Arial"/>
                <w:color w:val="000000"/>
                <w:sz w:val="20"/>
                <w:szCs w:val="20"/>
              </w:rPr>
              <w:t xml:space="preserve"> </w:t>
            </w:r>
            <w:proofErr w:type="spellStart"/>
            <w:r w:rsidRPr="009D0FBA">
              <w:rPr>
                <w:rFonts w:ascii="Arial" w:eastAsia="Times New Roman" w:hAnsi="Arial" w:cs="Arial"/>
                <w:color w:val="000000"/>
                <w:sz w:val="20"/>
                <w:szCs w:val="20"/>
              </w:rPr>
              <w:t>scoparium</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1D49CD88"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0.75</w:t>
            </w:r>
          </w:p>
        </w:tc>
        <w:tc>
          <w:tcPr>
            <w:tcW w:w="1170" w:type="dxa"/>
            <w:tcBorders>
              <w:top w:val="nil"/>
              <w:left w:val="nil"/>
              <w:bottom w:val="single" w:sz="4" w:space="0" w:color="auto"/>
              <w:right w:val="single" w:sz="4" w:space="0" w:color="auto"/>
            </w:tcBorders>
            <w:shd w:val="clear" w:color="auto" w:fill="auto"/>
            <w:noWrap/>
            <w:vAlign w:val="bottom"/>
            <w:hideMark/>
          </w:tcPr>
          <w:p w14:paraId="335EA303"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3.25%</w:t>
            </w:r>
          </w:p>
        </w:tc>
        <w:tc>
          <w:tcPr>
            <w:tcW w:w="1106" w:type="dxa"/>
            <w:tcBorders>
              <w:top w:val="nil"/>
              <w:left w:val="nil"/>
              <w:bottom w:val="single" w:sz="4" w:space="0" w:color="auto"/>
              <w:right w:val="single" w:sz="4" w:space="0" w:color="auto"/>
            </w:tcBorders>
            <w:shd w:val="clear" w:color="auto" w:fill="auto"/>
            <w:noWrap/>
            <w:vAlign w:val="bottom"/>
            <w:hideMark/>
          </w:tcPr>
          <w:p w14:paraId="50A0844E"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4.13</w:t>
            </w:r>
          </w:p>
        </w:tc>
        <w:tc>
          <w:tcPr>
            <w:tcW w:w="694" w:type="dxa"/>
            <w:tcBorders>
              <w:top w:val="nil"/>
              <w:left w:val="nil"/>
              <w:bottom w:val="single" w:sz="4" w:space="0" w:color="auto"/>
              <w:right w:val="single" w:sz="4" w:space="0" w:color="auto"/>
            </w:tcBorders>
            <w:shd w:val="clear" w:color="auto" w:fill="auto"/>
            <w:noWrap/>
            <w:vAlign w:val="bottom"/>
            <w:hideMark/>
          </w:tcPr>
          <w:p w14:paraId="3900727D"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7.81%</w:t>
            </w:r>
          </w:p>
        </w:tc>
      </w:tr>
      <w:tr w:rsidR="009D0FBA" w:rsidRPr="009D0FBA" w14:paraId="0DA5E5DB"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46095043"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spohet</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6E58FAD8"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Prairie Dropseed</w:t>
            </w:r>
          </w:p>
        </w:tc>
        <w:tc>
          <w:tcPr>
            <w:tcW w:w="2880" w:type="dxa"/>
            <w:tcBorders>
              <w:top w:val="nil"/>
              <w:left w:val="nil"/>
              <w:bottom w:val="single" w:sz="4" w:space="0" w:color="auto"/>
              <w:right w:val="single" w:sz="4" w:space="0" w:color="auto"/>
            </w:tcBorders>
            <w:shd w:val="clear" w:color="000000" w:fill="A9D08E"/>
            <w:noWrap/>
            <w:vAlign w:val="bottom"/>
            <w:hideMark/>
          </w:tcPr>
          <w:p w14:paraId="669C2EDF"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 xml:space="preserve">Sporobolus </w:t>
            </w:r>
            <w:proofErr w:type="spellStart"/>
            <w:r w:rsidRPr="009D0FBA">
              <w:rPr>
                <w:rFonts w:ascii="Arial" w:eastAsia="Times New Roman" w:hAnsi="Arial" w:cs="Arial"/>
                <w:color w:val="000000"/>
                <w:sz w:val="20"/>
                <w:szCs w:val="20"/>
              </w:rPr>
              <w:t>heterolepis</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10BF0B57"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0.50</w:t>
            </w:r>
          </w:p>
        </w:tc>
        <w:tc>
          <w:tcPr>
            <w:tcW w:w="1170" w:type="dxa"/>
            <w:tcBorders>
              <w:top w:val="nil"/>
              <w:left w:val="nil"/>
              <w:bottom w:val="single" w:sz="4" w:space="0" w:color="auto"/>
              <w:right w:val="single" w:sz="4" w:space="0" w:color="auto"/>
            </w:tcBorders>
            <w:shd w:val="clear" w:color="auto" w:fill="auto"/>
            <w:noWrap/>
            <w:vAlign w:val="bottom"/>
            <w:hideMark/>
          </w:tcPr>
          <w:p w14:paraId="0C22B26B"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2.16%</w:t>
            </w:r>
          </w:p>
        </w:tc>
        <w:tc>
          <w:tcPr>
            <w:tcW w:w="1106" w:type="dxa"/>
            <w:tcBorders>
              <w:top w:val="nil"/>
              <w:left w:val="nil"/>
              <w:bottom w:val="single" w:sz="4" w:space="0" w:color="auto"/>
              <w:right w:val="single" w:sz="4" w:space="0" w:color="auto"/>
            </w:tcBorders>
            <w:shd w:val="clear" w:color="auto" w:fill="auto"/>
            <w:noWrap/>
            <w:vAlign w:val="bottom"/>
            <w:hideMark/>
          </w:tcPr>
          <w:p w14:paraId="2A2373FC"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2.94</w:t>
            </w:r>
          </w:p>
        </w:tc>
        <w:tc>
          <w:tcPr>
            <w:tcW w:w="694" w:type="dxa"/>
            <w:tcBorders>
              <w:top w:val="nil"/>
              <w:left w:val="nil"/>
              <w:bottom w:val="single" w:sz="4" w:space="0" w:color="auto"/>
              <w:right w:val="single" w:sz="4" w:space="0" w:color="auto"/>
            </w:tcBorders>
            <w:shd w:val="clear" w:color="auto" w:fill="auto"/>
            <w:noWrap/>
            <w:vAlign w:val="bottom"/>
            <w:hideMark/>
          </w:tcPr>
          <w:p w14:paraId="2D255E78"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5.55%</w:t>
            </w:r>
          </w:p>
        </w:tc>
      </w:tr>
      <w:tr w:rsidR="009D0FBA" w:rsidRPr="009D0FBA" w14:paraId="20E085B7" w14:textId="77777777" w:rsidTr="009D0FBA">
        <w:trPr>
          <w:trHeight w:val="255"/>
        </w:trPr>
        <w:tc>
          <w:tcPr>
            <w:tcW w:w="928" w:type="dxa"/>
            <w:tcBorders>
              <w:top w:val="nil"/>
              <w:left w:val="single" w:sz="4" w:space="0" w:color="auto"/>
              <w:bottom w:val="single" w:sz="4" w:space="0" w:color="auto"/>
              <w:right w:val="single" w:sz="4" w:space="0" w:color="auto"/>
            </w:tcBorders>
            <w:shd w:val="clear" w:color="000000" w:fill="9BC2E6"/>
            <w:noWrap/>
            <w:vAlign w:val="bottom"/>
            <w:hideMark/>
          </w:tcPr>
          <w:p w14:paraId="306FC83E" w14:textId="77777777" w:rsidR="009D0FBA" w:rsidRPr="009D0FBA" w:rsidRDefault="009D0FBA" w:rsidP="009D0FBA">
            <w:pPr>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 </w:t>
            </w:r>
          </w:p>
        </w:tc>
        <w:tc>
          <w:tcPr>
            <w:tcW w:w="2222" w:type="dxa"/>
            <w:tcBorders>
              <w:top w:val="nil"/>
              <w:left w:val="nil"/>
              <w:bottom w:val="single" w:sz="4" w:space="0" w:color="auto"/>
              <w:right w:val="single" w:sz="4" w:space="0" w:color="auto"/>
            </w:tcBorders>
            <w:shd w:val="clear" w:color="000000" w:fill="9BC2E6"/>
            <w:noWrap/>
            <w:vAlign w:val="bottom"/>
            <w:hideMark/>
          </w:tcPr>
          <w:p w14:paraId="4B61C984" w14:textId="77777777" w:rsidR="009D0FBA" w:rsidRPr="009D0FBA" w:rsidRDefault="009D0FBA" w:rsidP="009D0FBA">
            <w:pPr>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 </w:t>
            </w:r>
          </w:p>
        </w:tc>
        <w:tc>
          <w:tcPr>
            <w:tcW w:w="2880" w:type="dxa"/>
            <w:tcBorders>
              <w:top w:val="nil"/>
              <w:left w:val="nil"/>
              <w:bottom w:val="single" w:sz="4" w:space="0" w:color="auto"/>
              <w:right w:val="single" w:sz="4" w:space="0" w:color="auto"/>
            </w:tcBorders>
            <w:shd w:val="clear" w:color="000000" w:fill="9BC2E6"/>
            <w:noWrap/>
            <w:vAlign w:val="bottom"/>
            <w:hideMark/>
          </w:tcPr>
          <w:p w14:paraId="017CA260" w14:textId="77777777" w:rsidR="009D0FBA" w:rsidRPr="009D0FBA" w:rsidRDefault="009D0FBA" w:rsidP="009D0FBA">
            <w:pPr>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Grasses Subtotal</w:t>
            </w:r>
          </w:p>
        </w:tc>
        <w:tc>
          <w:tcPr>
            <w:tcW w:w="900" w:type="dxa"/>
            <w:tcBorders>
              <w:top w:val="nil"/>
              <w:left w:val="nil"/>
              <w:bottom w:val="single" w:sz="4" w:space="0" w:color="auto"/>
              <w:right w:val="single" w:sz="4" w:space="0" w:color="auto"/>
            </w:tcBorders>
            <w:shd w:val="clear" w:color="000000" w:fill="9BC2E6"/>
            <w:noWrap/>
            <w:vAlign w:val="bottom"/>
            <w:hideMark/>
          </w:tcPr>
          <w:p w14:paraId="256DF30D" w14:textId="77777777" w:rsidR="009D0FBA" w:rsidRPr="009D0FBA" w:rsidRDefault="009D0FBA" w:rsidP="009D0FBA">
            <w:pPr>
              <w:jc w:val="right"/>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5.85</w:t>
            </w:r>
          </w:p>
        </w:tc>
        <w:tc>
          <w:tcPr>
            <w:tcW w:w="1170" w:type="dxa"/>
            <w:tcBorders>
              <w:top w:val="nil"/>
              <w:left w:val="nil"/>
              <w:bottom w:val="single" w:sz="4" w:space="0" w:color="auto"/>
              <w:right w:val="single" w:sz="4" w:space="0" w:color="auto"/>
            </w:tcBorders>
            <w:shd w:val="clear" w:color="000000" w:fill="9BC2E6"/>
            <w:noWrap/>
            <w:vAlign w:val="bottom"/>
            <w:hideMark/>
          </w:tcPr>
          <w:p w14:paraId="0611F9B7" w14:textId="77777777" w:rsidR="009D0FBA" w:rsidRPr="009D0FBA" w:rsidRDefault="009D0FBA" w:rsidP="009D0FBA">
            <w:pPr>
              <w:jc w:val="right"/>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25.32%</w:t>
            </w:r>
          </w:p>
        </w:tc>
        <w:tc>
          <w:tcPr>
            <w:tcW w:w="1106" w:type="dxa"/>
            <w:tcBorders>
              <w:top w:val="nil"/>
              <w:left w:val="nil"/>
              <w:bottom w:val="single" w:sz="4" w:space="0" w:color="auto"/>
              <w:right w:val="single" w:sz="4" w:space="0" w:color="auto"/>
            </w:tcBorders>
            <w:shd w:val="clear" w:color="000000" w:fill="9BC2E6"/>
            <w:noWrap/>
            <w:vAlign w:val="bottom"/>
            <w:hideMark/>
          </w:tcPr>
          <w:p w14:paraId="7AA5A51A" w14:textId="77777777" w:rsidR="009D0FBA" w:rsidRPr="009D0FBA" w:rsidRDefault="009D0FBA" w:rsidP="009D0FBA">
            <w:pPr>
              <w:jc w:val="right"/>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28.31</w:t>
            </w:r>
          </w:p>
        </w:tc>
        <w:tc>
          <w:tcPr>
            <w:tcW w:w="694" w:type="dxa"/>
            <w:tcBorders>
              <w:top w:val="nil"/>
              <w:left w:val="nil"/>
              <w:bottom w:val="single" w:sz="4" w:space="0" w:color="auto"/>
              <w:right w:val="single" w:sz="4" w:space="0" w:color="auto"/>
            </w:tcBorders>
            <w:shd w:val="clear" w:color="000000" w:fill="9BC2E6"/>
            <w:noWrap/>
            <w:vAlign w:val="bottom"/>
            <w:hideMark/>
          </w:tcPr>
          <w:p w14:paraId="3FBBC0CE" w14:textId="77777777" w:rsidR="009D0FBA" w:rsidRPr="009D0FBA" w:rsidRDefault="009D0FBA" w:rsidP="009D0FBA">
            <w:pPr>
              <w:jc w:val="right"/>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53.47%</w:t>
            </w:r>
          </w:p>
        </w:tc>
      </w:tr>
      <w:tr w:rsidR="009D0FBA" w:rsidRPr="009D0FBA" w14:paraId="7751D232"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0768004"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carbic</w:t>
            </w:r>
          </w:p>
        </w:tc>
        <w:tc>
          <w:tcPr>
            <w:tcW w:w="2222" w:type="dxa"/>
            <w:tcBorders>
              <w:top w:val="nil"/>
              <w:left w:val="nil"/>
              <w:bottom w:val="single" w:sz="4" w:space="0" w:color="auto"/>
              <w:right w:val="single" w:sz="4" w:space="0" w:color="auto"/>
            </w:tcBorders>
            <w:shd w:val="clear" w:color="auto" w:fill="auto"/>
            <w:noWrap/>
            <w:vAlign w:val="bottom"/>
            <w:hideMark/>
          </w:tcPr>
          <w:p w14:paraId="3D19FEAF"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Bicknell's Sedge</w:t>
            </w:r>
          </w:p>
        </w:tc>
        <w:tc>
          <w:tcPr>
            <w:tcW w:w="2880" w:type="dxa"/>
            <w:tcBorders>
              <w:top w:val="nil"/>
              <w:left w:val="nil"/>
              <w:bottom w:val="single" w:sz="4" w:space="0" w:color="auto"/>
              <w:right w:val="single" w:sz="4" w:space="0" w:color="auto"/>
            </w:tcBorders>
            <w:shd w:val="clear" w:color="000000" w:fill="A9D08E"/>
            <w:noWrap/>
            <w:vAlign w:val="bottom"/>
            <w:hideMark/>
          </w:tcPr>
          <w:p w14:paraId="294C4243"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Carex</w:t>
            </w:r>
            <w:proofErr w:type="spellEnd"/>
            <w:r w:rsidRPr="009D0FBA">
              <w:rPr>
                <w:rFonts w:ascii="Arial" w:eastAsia="Times New Roman" w:hAnsi="Arial" w:cs="Arial"/>
                <w:color w:val="000000"/>
                <w:sz w:val="20"/>
                <w:szCs w:val="20"/>
              </w:rPr>
              <w:t xml:space="preserve"> </w:t>
            </w:r>
            <w:proofErr w:type="spellStart"/>
            <w:r w:rsidRPr="009D0FBA">
              <w:rPr>
                <w:rFonts w:ascii="Arial" w:eastAsia="Times New Roman" w:hAnsi="Arial" w:cs="Arial"/>
                <w:color w:val="000000"/>
                <w:sz w:val="20"/>
                <w:szCs w:val="20"/>
              </w:rPr>
              <w:t>bicknellii</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6D96D124"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0.05</w:t>
            </w:r>
          </w:p>
        </w:tc>
        <w:tc>
          <w:tcPr>
            <w:tcW w:w="1170" w:type="dxa"/>
            <w:tcBorders>
              <w:top w:val="nil"/>
              <w:left w:val="nil"/>
              <w:bottom w:val="single" w:sz="4" w:space="0" w:color="auto"/>
              <w:right w:val="single" w:sz="4" w:space="0" w:color="auto"/>
            </w:tcBorders>
            <w:shd w:val="clear" w:color="auto" w:fill="auto"/>
            <w:noWrap/>
            <w:vAlign w:val="bottom"/>
            <w:hideMark/>
          </w:tcPr>
          <w:p w14:paraId="4DE232E3"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0.22%</w:t>
            </w:r>
          </w:p>
        </w:tc>
        <w:tc>
          <w:tcPr>
            <w:tcW w:w="1106" w:type="dxa"/>
            <w:tcBorders>
              <w:top w:val="nil"/>
              <w:left w:val="nil"/>
              <w:bottom w:val="single" w:sz="4" w:space="0" w:color="auto"/>
              <w:right w:val="single" w:sz="4" w:space="0" w:color="auto"/>
            </w:tcBorders>
            <w:shd w:val="clear" w:color="auto" w:fill="auto"/>
            <w:noWrap/>
            <w:vAlign w:val="bottom"/>
            <w:hideMark/>
          </w:tcPr>
          <w:p w14:paraId="79C6FC03"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0.31</w:t>
            </w:r>
          </w:p>
        </w:tc>
        <w:tc>
          <w:tcPr>
            <w:tcW w:w="694" w:type="dxa"/>
            <w:tcBorders>
              <w:top w:val="nil"/>
              <w:left w:val="nil"/>
              <w:bottom w:val="single" w:sz="4" w:space="0" w:color="auto"/>
              <w:right w:val="single" w:sz="4" w:space="0" w:color="auto"/>
            </w:tcBorders>
            <w:shd w:val="clear" w:color="auto" w:fill="auto"/>
            <w:noWrap/>
            <w:vAlign w:val="bottom"/>
            <w:hideMark/>
          </w:tcPr>
          <w:p w14:paraId="61BEFF37"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0.59%</w:t>
            </w:r>
          </w:p>
        </w:tc>
      </w:tr>
      <w:tr w:rsidR="009D0FBA" w:rsidRPr="009D0FBA" w14:paraId="767603B9"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18F9B39D"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carbre</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3E6C53CB"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Plains Oval Sedge</w:t>
            </w:r>
          </w:p>
        </w:tc>
        <w:tc>
          <w:tcPr>
            <w:tcW w:w="2880" w:type="dxa"/>
            <w:tcBorders>
              <w:top w:val="nil"/>
              <w:left w:val="nil"/>
              <w:bottom w:val="single" w:sz="4" w:space="0" w:color="auto"/>
              <w:right w:val="single" w:sz="4" w:space="0" w:color="auto"/>
            </w:tcBorders>
            <w:shd w:val="clear" w:color="000000" w:fill="A9D08E"/>
            <w:noWrap/>
            <w:vAlign w:val="bottom"/>
            <w:hideMark/>
          </w:tcPr>
          <w:p w14:paraId="5CD770B4"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Carex</w:t>
            </w:r>
            <w:proofErr w:type="spellEnd"/>
            <w:r w:rsidRPr="009D0FBA">
              <w:rPr>
                <w:rFonts w:ascii="Arial" w:eastAsia="Times New Roman" w:hAnsi="Arial" w:cs="Arial"/>
                <w:color w:val="000000"/>
                <w:sz w:val="20"/>
                <w:szCs w:val="20"/>
              </w:rPr>
              <w:t xml:space="preserve"> </w:t>
            </w:r>
            <w:proofErr w:type="spellStart"/>
            <w:r w:rsidRPr="009D0FBA">
              <w:rPr>
                <w:rFonts w:ascii="Arial" w:eastAsia="Times New Roman" w:hAnsi="Arial" w:cs="Arial"/>
                <w:color w:val="000000"/>
                <w:sz w:val="20"/>
                <w:szCs w:val="20"/>
              </w:rPr>
              <w:t>brevior</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500BA10D"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0.05</w:t>
            </w:r>
          </w:p>
        </w:tc>
        <w:tc>
          <w:tcPr>
            <w:tcW w:w="1170" w:type="dxa"/>
            <w:tcBorders>
              <w:top w:val="nil"/>
              <w:left w:val="nil"/>
              <w:bottom w:val="single" w:sz="4" w:space="0" w:color="auto"/>
              <w:right w:val="single" w:sz="4" w:space="0" w:color="auto"/>
            </w:tcBorders>
            <w:shd w:val="clear" w:color="auto" w:fill="auto"/>
            <w:noWrap/>
            <w:vAlign w:val="bottom"/>
            <w:hideMark/>
          </w:tcPr>
          <w:p w14:paraId="692E4CA2"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0.22%</w:t>
            </w:r>
          </w:p>
        </w:tc>
        <w:tc>
          <w:tcPr>
            <w:tcW w:w="1106" w:type="dxa"/>
            <w:tcBorders>
              <w:top w:val="nil"/>
              <w:left w:val="nil"/>
              <w:bottom w:val="single" w:sz="4" w:space="0" w:color="auto"/>
              <w:right w:val="single" w:sz="4" w:space="0" w:color="auto"/>
            </w:tcBorders>
            <w:shd w:val="clear" w:color="auto" w:fill="auto"/>
            <w:noWrap/>
            <w:vAlign w:val="bottom"/>
            <w:hideMark/>
          </w:tcPr>
          <w:p w14:paraId="303EC5AF"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0.53</w:t>
            </w:r>
          </w:p>
        </w:tc>
        <w:tc>
          <w:tcPr>
            <w:tcW w:w="694" w:type="dxa"/>
            <w:tcBorders>
              <w:top w:val="nil"/>
              <w:left w:val="nil"/>
              <w:bottom w:val="single" w:sz="4" w:space="0" w:color="auto"/>
              <w:right w:val="single" w:sz="4" w:space="0" w:color="auto"/>
            </w:tcBorders>
            <w:shd w:val="clear" w:color="auto" w:fill="auto"/>
            <w:noWrap/>
            <w:vAlign w:val="bottom"/>
            <w:hideMark/>
          </w:tcPr>
          <w:p w14:paraId="73329473"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1.01%</w:t>
            </w:r>
          </w:p>
        </w:tc>
      </w:tr>
      <w:tr w:rsidR="009D0FBA" w:rsidRPr="009D0FBA" w14:paraId="69C8D83F"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879CB77"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carspr</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637F666D"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Long-beaked Sedge</w:t>
            </w:r>
          </w:p>
        </w:tc>
        <w:tc>
          <w:tcPr>
            <w:tcW w:w="2880" w:type="dxa"/>
            <w:tcBorders>
              <w:top w:val="nil"/>
              <w:left w:val="nil"/>
              <w:bottom w:val="single" w:sz="4" w:space="0" w:color="auto"/>
              <w:right w:val="single" w:sz="4" w:space="0" w:color="auto"/>
            </w:tcBorders>
            <w:shd w:val="clear" w:color="000000" w:fill="A9D08E"/>
            <w:noWrap/>
            <w:vAlign w:val="bottom"/>
            <w:hideMark/>
          </w:tcPr>
          <w:p w14:paraId="29894767"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Carex</w:t>
            </w:r>
            <w:proofErr w:type="spellEnd"/>
            <w:r w:rsidRPr="009D0FBA">
              <w:rPr>
                <w:rFonts w:ascii="Arial" w:eastAsia="Times New Roman" w:hAnsi="Arial" w:cs="Arial"/>
                <w:color w:val="000000"/>
                <w:sz w:val="20"/>
                <w:szCs w:val="20"/>
              </w:rPr>
              <w:t xml:space="preserve"> </w:t>
            </w:r>
            <w:proofErr w:type="spellStart"/>
            <w:r w:rsidRPr="009D0FBA">
              <w:rPr>
                <w:rFonts w:ascii="Arial" w:eastAsia="Times New Roman" w:hAnsi="Arial" w:cs="Arial"/>
                <w:color w:val="000000"/>
                <w:sz w:val="20"/>
                <w:szCs w:val="20"/>
              </w:rPr>
              <w:t>sprengelii</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12851229"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0.05</w:t>
            </w:r>
          </w:p>
        </w:tc>
        <w:tc>
          <w:tcPr>
            <w:tcW w:w="1170" w:type="dxa"/>
            <w:tcBorders>
              <w:top w:val="nil"/>
              <w:left w:val="nil"/>
              <w:bottom w:val="single" w:sz="4" w:space="0" w:color="auto"/>
              <w:right w:val="single" w:sz="4" w:space="0" w:color="auto"/>
            </w:tcBorders>
            <w:shd w:val="clear" w:color="auto" w:fill="auto"/>
            <w:noWrap/>
            <w:vAlign w:val="bottom"/>
            <w:hideMark/>
          </w:tcPr>
          <w:p w14:paraId="16167D46"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0.22%</w:t>
            </w:r>
          </w:p>
        </w:tc>
        <w:tc>
          <w:tcPr>
            <w:tcW w:w="1106" w:type="dxa"/>
            <w:tcBorders>
              <w:top w:val="nil"/>
              <w:left w:val="nil"/>
              <w:bottom w:val="single" w:sz="4" w:space="0" w:color="auto"/>
              <w:right w:val="single" w:sz="4" w:space="0" w:color="auto"/>
            </w:tcBorders>
            <w:shd w:val="clear" w:color="auto" w:fill="auto"/>
            <w:noWrap/>
            <w:vAlign w:val="bottom"/>
            <w:hideMark/>
          </w:tcPr>
          <w:p w14:paraId="77D099C1"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0.18</w:t>
            </w:r>
          </w:p>
        </w:tc>
        <w:tc>
          <w:tcPr>
            <w:tcW w:w="694" w:type="dxa"/>
            <w:tcBorders>
              <w:top w:val="nil"/>
              <w:left w:val="nil"/>
              <w:bottom w:val="single" w:sz="4" w:space="0" w:color="auto"/>
              <w:right w:val="single" w:sz="4" w:space="0" w:color="auto"/>
            </w:tcBorders>
            <w:shd w:val="clear" w:color="auto" w:fill="auto"/>
            <w:noWrap/>
            <w:vAlign w:val="bottom"/>
            <w:hideMark/>
          </w:tcPr>
          <w:p w14:paraId="18A76B37"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0.35%</w:t>
            </w:r>
          </w:p>
        </w:tc>
      </w:tr>
      <w:tr w:rsidR="009D0FBA" w:rsidRPr="009D0FBA" w14:paraId="71EF412E" w14:textId="77777777" w:rsidTr="009D0FBA">
        <w:trPr>
          <w:trHeight w:val="255"/>
        </w:trPr>
        <w:tc>
          <w:tcPr>
            <w:tcW w:w="928" w:type="dxa"/>
            <w:tcBorders>
              <w:top w:val="nil"/>
              <w:left w:val="single" w:sz="4" w:space="0" w:color="auto"/>
              <w:bottom w:val="single" w:sz="4" w:space="0" w:color="auto"/>
              <w:right w:val="single" w:sz="4" w:space="0" w:color="auto"/>
            </w:tcBorders>
            <w:shd w:val="clear" w:color="000000" w:fill="9BC2E6"/>
            <w:noWrap/>
            <w:vAlign w:val="bottom"/>
            <w:hideMark/>
          </w:tcPr>
          <w:p w14:paraId="591CDCBA" w14:textId="77777777" w:rsidR="009D0FBA" w:rsidRPr="009D0FBA" w:rsidRDefault="009D0FBA" w:rsidP="009D0FBA">
            <w:pPr>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 </w:t>
            </w:r>
          </w:p>
        </w:tc>
        <w:tc>
          <w:tcPr>
            <w:tcW w:w="2222" w:type="dxa"/>
            <w:tcBorders>
              <w:top w:val="nil"/>
              <w:left w:val="nil"/>
              <w:bottom w:val="single" w:sz="4" w:space="0" w:color="auto"/>
              <w:right w:val="single" w:sz="4" w:space="0" w:color="auto"/>
            </w:tcBorders>
            <w:shd w:val="clear" w:color="000000" w:fill="9BC2E6"/>
            <w:noWrap/>
            <w:vAlign w:val="bottom"/>
            <w:hideMark/>
          </w:tcPr>
          <w:p w14:paraId="434C9E5E" w14:textId="77777777" w:rsidR="009D0FBA" w:rsidRPr="009D0FBA" w:rsidRDefault="009D0FBA" w:rsidP="009D0FBA">
            <w:pPr>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 </w:t>
            </w:r>
          </w:p>
        </w:tc>
        <w:tc>
          <w:tcPr>
            <w:tcW w:w="2880" w:type="dxa"/>
            <w:tcBorders>
              <w:top w:val="nil"/>
              <w:left w:val="nil"/>
              <w:bottom w:val="single" w:sz="4" w:space="0" w:color="auto"/>
              <w:right w:val="single" w:sz="4" w:space="0" w:color="auto"/>
            </w:tcBorders>
            <w:shd w:val="clear" w:color="000000" w:fill="9BC2E6"/>
            <w:noWrap/>
            <w:vAlign w:val="bottom"/>
            <w:hideMark/>
          </w:tcPr>
          <w:p w14:paraId="6D644AF8" w14:textId="77777777" w:rsidR="009D0FBA" w:rsidRPr="009D0FBA" w:rsidRDefault="009D0FBA" w:rsidP="009D0FBA">
            <w:pPr>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Sedges &amp; Rushes Subtotal</w:t>
            </w:r>
          </w:p>
        </w:tc>
        <w:tc>
          <w:tcPr>
            <w:tcW w:w="900" w:type="dxa"/>
            <w:tcBorders>
              <w:top w:val="nil"/>
              <w:left w:val="nil"/>
              <w:bottom w:val="single" w:sz="4" w:space="0" w:color="auto"/>
              <w:right w:val="single" w:sz="4" w:space="0" w:color="auto"/>
            </w:tcBorders>
            <w:shd w:val="clear" w:color="000000" w:fill="9BC2E6"/>
            <w:noWrap/>
            <w:vAlign w:val="bottom"/>
            <w:hideMark/>
          </w:tcPr>
          <w:p w14:paraId="3B9D0F98" w14:textId="77777777" w:rsidR="009D0FBA" w:rsidRPr="009D0FBA" w:rsidRDefault="009D0FBA" w:rsidP="009D0FBA">
            <w:pPr>
              <w:jc w:val="right"/>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0.15</w:t>
            </w:r>
          </w:p>
        </w:tc>
        <w:tc>
          <w:tcPr>
            <w:tcW w:w="1170" w:type="dxa"/>
            <w:tcBorders>
              <w:top w:val="nil"/>
              <w:left w:val="nil"/>
              <w:bottom w:val="single" w:sz="4" w:space="0" w:color="auto"/>
              <w:right w:val="single" w:sz="4" w:space="0" w:color="auto"/>
            </w:tcBorders>
            <w:shd w:val="clear" w:color="000000" w:fill="9BC2E6"/>
            <w:noWrap/>
            <w:vAlign w:val="bottom"/>
            <w:hideMark/>
          </w:tcPr>
          <w:p w14:paraId="136C0BAB" w14:textId="77777777" w:rsidR="009D0FBA" w:rsidRPr="009D0FBA" w:rsidRDefault="009D0FBA" w:rsidP="009D0FBA">
            <w:pPr>
              <w:jc w:val="right"/>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0.65%</w:t>
            </w:r>
          </w:p>
        </w:tc>
        <w:tc>
          <w:tcPr>
            <w:tcW w:w="1106" w:type="dxa"/>
            <w:tcBorders>
              <w:top w:val="nil"/>
              <w:left w:val="nil"/>
              <w:bottom w:val="single" w:sz="4" w:space="0" w:color="auto"/>
              <w:right w:val="single" w:sz="4" w:space="0" w:color="auto"/>
            </w:tcBorders>
            <w:shd w:val="clear" w:color="000000" w:fill="9BC2E6"/>
            <w:noWrap/>
            <w:vAlign w:val="bottom"/>
            <w:hideMark/>
          </w:tcPr>
          <w:p w14:paraId="3308639B" w14:textId="77777777" w:rsidR="009D0FBA" w:rsidRPr="009D0FBA" w:rsidRDefault="009D0FBA" w:rsidP="009D0FBA">
            <w:pPr>
              <w:jc w:val="right"/>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1.03</w:t>
            </w:r>
          </w:p>
        </w:tc>
        <w:tc>
          <w:tcPr>
            <w:tcW w:w="694" w:type="dxa"/>
            <w:tcBorders>
              <w:top w:val="nil"/>
              <w:left w:val="nil"/>
              <w:bottom w:val="single" w:sz="4" w:space="0" w:color="auto"/>
              <w:right w:val="single" w:sz="4" w:space="0" w:color="auto"/>
            </w:tcBorders>
            <w:shd w:val="clear" w:color="000000" w:fill="9BC2E6"/>
            <w:noWrap/>
            <w:vAlign w:val="bottom"/>
            <w:hideMark/>
          </w:tcPr>
          <w:p w14:paraId="63E20BE5" w14:textId="77777777" w:rsidR="009D0FBA" w:rsidRPr="009D0FBA" w:rsidRDefault="009D0FBA" w:rsidP="009D0FBA">
            <w:pPr>
              <w:jc w:val="right"/>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1.94%</w:t>
            </w:r>
          </w:p>
        </w:tc>
      </w:tr>
      <w:tr w:rsidR="009D0FBA" w:rsidRPr="009D0FBA" w14:paraId="526F10A9"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02A47E9F"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achmil</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7B9A4571"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Common Yarrow</w:t>
            </w:r>
          </w:p>
        </w:tc>
        <w:tc>
          <w:tcPr>
            <w:tcW w:w="2880" w:type="dxa"/>
            <w:tcBorders>
              <w:top w:val="nil"/>
              <w:left w:val="nil"/>
              <w:bottom w:val="single" w:sz="4" w:space="0" w:color="auto"/>
              <w:right w:val="single" w:sz="4" w:space="0" w:color="auto"/>
            </w:tcBorders>
            <w:shd w:val="clear" w:color="000000" w:fill="A9D08E"/>
            <w:noWrap/>
            <w:vAlign w:val="bottom"/>
            <w:hideMark/>
          </w:tcPr>
          <w:p w14:paraId="6866FC48"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Achillea millefolium</w:t>
            </w:r>
          </w:p>
        </w:tc>
        <w:tc>
          <w:tcPr>
            <w:tcW w:w="900" w:type="dxa"/>
            <w:tcBorders>
              <w:top w:val="nil"/>
              <w:left w:val="nil"/>
              <w:bottom w:val="single" w:sz="4" w:space="0" w:color="auto"/>
              <w:right w:val="single" w:sz="4" w:space="0" w:color="auto"/>
            </w:tcBorders>
            <w:shd w:val="clear" w:color="auto" w:fill="auto"/>
            <w:noWrap/>
            <w:vAlign w:val="bottom"/>
            <w:hideMark/>
          </w:tcPr>
          <w:p w14:paraId="51E94D37"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0.01</w:t>
            </w:r>
          </w:p>
        </w:tc>
        <w:tc>
          <w:tcPr>
            <w:tcW w:w="1170" w:type="dxa"/>
            <w:tcBorders>
              <w:top w:val="nil"/>
              <w:left w:val="nil"/>
              <w:bottom w:val="single" w:sz="4" w:space="0" w:color="auto"/>
              <w:right w:val="single" w:sz="4" w:space="0" w:color="auto"/>
            </w:tcBorders>
            <w:shd w:val="clear" w:color="auto" w:fill="auto"/>
            <w:noWrap/>
            <w:vAlign w:val="bottom"/>
            <w:hideMark/>
          </w:tcPr>
          <w:p w14:paraId="7E4428DE"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0.04%</w:t>
            </w:r>
          </w:p>
        </w:tc>
        <w:tc>
          <w:tcPr>
            <w:tcW w:w="1106" w:type="dxa"/>
            <w:tcBorders>
              <w:top w:val="nil"/>
              <w:left w:val="nil"/>
              <w:bottom w:val="single" w:sz="4" w:space="0" w:color="auto"/>
              <w:right w:val="single" w:sz="4" w:space="0" w:color="auto"/>
            </w:tcBorders>
            <w:shd w:val="clear" w:color="auto" w:fill="auto"/>
            <w:noWrap/>
            <w:vAlign w:val="bottom"/>
            <w:hideMark/>
          </w:tcPr>
          <w:p w14:paraId="17E0D073"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0.65</w:t>
            </w:r>
          </w:p>
        </w:tc>
        <w:tc>
          <w:tcPr>
            <w:tcW w:w="694" w:type="dxa"/>
            <w:tcBorders>
              <w:top w:val="nil"/>
              <w:left w:val="nil"/>
              <w:bottom w:val="single" w:sz="4" w:space="0" w:color="auto"/>
              <w:right w:val="single" w:sz="4" w:space="0" w:color="auto"/>
            </w:tcBorders>
            <w:shd w:val="clear" w:color="auto" w:fill="auto"/>
            <w:noWrap/>
            <w:vAlign w:val="bottom"/>
            <w:hideMark/>
          </w:tcPr>
          <w:p w14:paraId="26A992BC"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1.24%</w:t>
            </w:r>
          </w:p>
        </w:tc>
      </w:tr>
      <w:tr w:rsidR="009D0FBA" w:rsidRPr="009D0FBA" w14:paraId="7F36BB04"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09DEFF7C"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agafoe</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4AFBF497"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Anise Hyssop</w:t>
            </w:r>
          </w:p>
        </w:tc>
        <w:tc>
          <w:tcPr>
            <w:tcW w:w="2880" w:type="dxa"/>
            <w:tcBorders>
              <w:top w:val="nil"/>
              <w:left w:val="nil"/>
              <w:bottom w:val="single" w:sz="4" w:space="0" w:color="auto"/>
              <w:right w:val="single" w:sz="4" w:space="0" w:color="auto"/>
            </w:tcBorders>
            <w:shd w:val="clear" w:color="000000" w:fill="A9D08E"/>
            <w:noWrap/>
            <w:vAlign w:val="bottom"/>
            <w:hideMark/>
          </w:tcPr>
          <w:p w14:paraId="3EE315B4"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 xml:space="preserve">Agastache </w:t>
            </w:r>
            <w:proofErr w:type="spellStart"/>
            <w:r w:rsidRPr="009D0FBA">
              <w:rPr>
                <w:rFonts w:ascii="Arial" w:eastAsia="Times New Roman" w:hAnsi="Arial" w:cs="Arial"/>
                <w:color w:val="000000"/>
                <w:sz w:val="20"/>
                <w:szCs w:val="20"/>
              </w:rPr>
              <w:t>foeniculum</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28C473DB"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0.02</w:t>
            </w:r>
          </w:p>
        </w:tc>
        <w:tc>
          <w:tcPr>
            <w:tcW w:w="1170" w:type="dxa"/>
            <w:tcBorders>
              <w:top w:val="nil"/>
              <w:left w:val="nil"/>
              <w:bottom w:val="single" w:sz="4" w:space="0" w:color="auto"/>
              <w:right w:val="single" w:sz="4" w:space="0" w:color="auto"/>
            </w:tcBorders>
            <w:shd w:val="clear" w:color="auto" w:fill="auto"/>
            <w:noWrap/>
            <w:vAlign w:val="bottom"/>
            <w:hideMark/>
          </w:tcPr>
          <w:p w14:paraId="139D6DC1"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0.09%</w:t>
            </w:r>
          </w:p>
        </w:tc>
        <w:tc>
          <w:tcPr>
            <w:tcW w:w="1106" w:type="dxa"/>
            <w:tcBorders>
              <w:top w:val="nil"/>
              <w:left w:val="nil"/>
              <w:bottom w:val="single" w:sz="4" w:space="0" w:color="auto"/>
              <w:right w:val="single" w:sz="4" w:space="0" w:color="auto"/>
            </w:tcBorders>
            <w:shd w:val="clear" w:color="auto" w:fill="auto"/>
            <w:noWrap/>
            <w:vAlign w:val="bottom"/>
            <w:hideMark/>
          </w:tcPr>
          <w:p w14:paraId="19884CBF"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0.66</w:t>
            </w:r>
          </w:p>
        </w:tc>
        <w:tc>
          <w:tcPr>
            <w:tcW w:w="694" w:type="dxa"/>
            <w:tcBorders>
              <w:top w:val="nil"/>
              <w:left w:val="nil"/>
              <w:bottom w:val="single" w:sz="4" w:space="0" w:color="auto"/>
              <w:right w:val="single" w:sz="4" w:space="0" w:color="auto"/>
            </w:tcBorders>
            <w:shd w:val="clear" w:color="auto" w:fill="auto"/>
            <w:noWrap/>
            <w:vAlign w:val="bottom"/>
            <w:hideMark/>
          </w:tcPr>
          <w:p w14:paraId="1CF507BE"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1.25%</w:t>
            </w:r>
          </w:p>
        </w:tc>
      </w:tr>
      <w:tr w:rsidR="009D0FBA" w:rsidRPr="009D0FBA" w14:paraId="22515F7C"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1B19517"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allste</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44B1914F"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Prairie Onion</w:t>
            </w:r>
          </w:p>
        </w:tc>
        <w:tc>
          <w:tcPr>
            <w:tcW w:w="2880" w:type="dxa"/>
            <w:tcBorders>
              <w:top w:val="nil"/>
              <w:left w:val="nil"/>
              <w:bottom w:val="single" w:sz="4" w:space="0" w:color="auto"/>
              <w:right w:val="single" w:sz="4" w:space="0" w:color="auto"/>
            </w:tcBorders>
            <w:shd w:val="clear" w:color="000000" w:fill="A9D08E"/>
            <w:noWrap/>
            <w:vAlign w:val="bottom"/>
            <w:hideMark/>
          </w:tcPr>
          <w:p w14:paraId="6B206A93"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 xml:space="preserve">Allium </w:t>
            </w:r>
            <w:proofErr w:type="spellStart"/>
            <w:r w:rsidRPr="009D0FBA">
              <w:rPr>
                <w:rFonts w:ascii="Arial" w:eastAsia="Times New Roman" w:hAnsi="Arial" w:cs="Arial"/>
                <w:color w:val="000000"/>
                <w:sz w:val="20"/>
                <w:szCs w:val="20"/>
              </w:rPr>
              <w:t>stellatum</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55A5724D"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0.06</w:t>
            </w:r>
          </w:p>
        </w:tc>
        <w:tc>
          <w:tcPr>
            <w:tcW w:w="1170" w:type="dxa"/>
            <w:tcBorders>
              <w:top w:val="nil"/>
              <w:left w:val="nil"/>
              <w:bottom w:val="single" w:sz="4" w:space="0" w:color="auto"/>
              <w:right w:val="single" w:sz="4" w:space="0" w:color="auto"/>
            </w:tcBorders>
            <w:shd w:val="clear" w:color="auto" w:fill="auto"/>
            <w:noWrap/>
            <w:vAlign w:val="bottom"/>
            <w:hideMark/>
          </w:tcPr>
          <w:p w14:paraId="471ED933"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0.26%</w:t>
            </w:r>
          </w:p>
        </w:tc>
        <w:tc>
          <w:tcPr>
            <w:tcW w:w="1106" w:type="dxa"/>
            <w:tcBorders>
              <w:top w:val="nil"/>
              <w:left w:val="nil"/>
              <w:bottom w:val="single" w:sz="4" w:space="0" w:color="auto"/>
              <w:right w:val="single" w:sz="4" w:space="0" w:color="auto"/>
            </w:tcBorders>
            <w:shd w:val="clear" w:color="auto" w:fill="auto"/>
            <w:noWrap/>
            <w:vAlign w:val="bottom"/>
            <w:hideMark/>
          </w:tcPr>
          <w:p w14:paraId="057F6295"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0.24</w:t>
            </w:r>
          </w:p>
        </w:tc>
        <w:tc>
          <w:tcPr>
            <w:tcW w:w="694" w:type="dxa"/>
            <w:tcBorders>
              <w:top w:val="nil"/>
              <w:left w:val="nil"/>
              <w:bottom w:val="single" w:sz="4" w:space="0" w:color="auto"/>
              <w:right w:val="single" w:sz="4" w:space="0" w:color="auto"/>
            </w:tcBorders>
            <w:shd w:val="clear" w:color="auto" w:fill="auto"/>
            <w:noWrap/>
            <w:vAlign w:val="bottom"/>
            <w:hideMark/>
          </w:tcPr>
          <w:p w14:paraId="02F59492"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0.46%</w:t>
            </w:r>
          </w:p>
        </w:tc>
      </w:tr>
      <w:tr w:rsidR="009D0FBA" w:rsidRPr="009D0FBA" w14:paraId="5B68BA0E"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6C8E59A"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amocan</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041D0F5A"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Lead Plant</w:t>
            </w:r>
          </w:p>
        </w:tc>
        <w:tc>
          <w:tcPr>
            <w:tcW w:w="2880" w:type="dxa"/>
            <w:tcBorders>
              <w:top w:val="nil"/>
              <w:left w:val="nil"/>
              <w:bottom w:val="single" w:sz="4" w:space="0" w:color="auto"/>
              <w:right w:val="single" w:sz="4" w:space="0" w:color="auto"/>
            </w:tcBorders>
            <w:shd w:val="clear" w:color="000000" w:fill="A9D08E"/>
            <w:noWrap/>
            <w:vAlign w:val="bottom"/>
            <w:hideMark/>
          </w:tcPr>
          <w:p w14:paraId="69E2B155"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 xml:space="preserve">Amorpha </w:t>
            </w:r>
            <w:proofErr w:type="spellStart"/>
            <w:r w:rsidRPr="009D0FBA">
              <w:rPr>
                <w:rFonts w:ascii="Arial" w:eastAsia="Times New Roman" w:hAnsi="Arial" w:cs="Arial"/>
                <w:color w:val="000000"/>
                <w:sz w:val="20"/>
                <w:szCs w:val="20"/>
              </w:rPr>
              <w:t>canescens</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38B9E837"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0.11</w:t>
            </w:r>
          </w:p>
        </w:tc>
        <w:tc>
          <w:tcPr>
            <w:tcW w:w="1170" w:type="dxa"/>
            <w:tcBorders>
              <w:top w:val="nil"/>
              <w:left w:val="nil"/>
              <w:bottom w:val="single" w:sz="4" w:space="0" w:color="auto"/>
              <w:right w:val="single" w:sz="4" w:space="0" w:color="auto"/>
            </w:tcBorders>
            <w:shd w:val="clear" w:color="auto" w:fill="auto"/>
            <w:noWrap/>
            <w:vAlign w:val="bottom"/>
            <w:hideMark/>
          </w:tcPr>
          <w:p w14:paraId="4F0E53C1"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0.48%</w:t>
            </w:r>
          </w:p>
        </w:tc>
        <w:tc>
          <w:tcPr>
            <w:tcW w:w="1106" w:type="dxa"/>
            <w:tcBorders>
              <w:top w:val="nil"/>
              <w:left w:val="nil"/>
              <w:bottom w:val="single" w:sz="4" w:space="0" w:color="auto"/>
              <w:right w:val="single" w:sz="4" w:space="0" w:color="auto"/>
            </w:tcBorders>
            <w:shd w:val="clear" w:color="auto" w:fill="auto"/>
            <w:noWrap/>
            <w:vAlign w:val="bottom"/>
            <w:hideMark/>
          </w:tcPr>
          <w:p w14:paraId="73B001C8"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0.49</w:t>
            </w:r>
          </w:p>
        </w:tc>
        <w:tc>
          <w:tcPr>
            <w:tcW w:w="694" w:type="dxa"/>
            <w:tcBorders>
              <w:top w:val="nil"/>
              <w:left w:val="nil"/>
              <w:bottom w:val="single" w:sz="4" w:space="0" w:color="auto"/>
              <w:right w:val="single" w:sz="4" w:space="0" w:color="auto"/>
            </w:tcBorders>
            <w:shd w:val="clear" w:color="auto" w:fill="auto"/>
            <w:noWrap/>
            <w:vAlign w:val="bottom"/>
            <w:hideMark/>
          </w:tcPr>
          <w:p w14:paraId="42413A5C"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0.93%</w:t>
            </w:r>
          </w:p>
        </w:tc>
      </w:tr>
      <w:tr w:rsidR="009D0FBA" w:rsidRPr="009D0FBA" w14:paraId="7C59BE9F"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5BB694BC"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aqucan</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0674CE7C"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Wild Columbine</w:t>
            </w:r>
          </w:p>
        </w:tc>
        <w:tc>
          <w:tcPr>
            <w:tcW w:w="2880" w:type="dxa"/>
            <w:tcBorders>
              <w:top w:val="nil"/>
              <w:left w:val="nil"/>
              <w:bottom w:val="single" w:sz="4" w:space="0" w:color="auto"/>
              <w:right w:val="single" w:sz="4" w:space="0" w:color="auto"/>
            </w:tcBorders>
            <w:shd w:val="clear" w:color="000000" w:fill="A9D08E"/>
            <w:noWrap/>
            <w:vAlign w:val="bottom"/>
            <w:hideMark/>
          </w:tcPr>
          <w:p w14:paraId="4A222AE3"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Aquilegia canadensis</w:t>
            </w:r>
          </w:p>
        </w:tc>
        <w:tc>
          <w:tcPr>
            <w:tcW w:w="900" w:type="dxa"/>
            <w:tcBorders>
              <w:top w:val="nil"/>
              <w:left w:val="nil"/>
              <w:bottom w:val="single" w:sz="4" w:space="0" w:color="auto"/>
              <w:right w:val="single" w:sz="4" w:space="0" w:color="auto"/>
            </w:tcBorders>
            <w:shd w:val="clear" w:color="auto" w:fill="auto"/>
            <w:noWrap/>
            <w:vAlign w:val="bottom"/>
            <w:hideMark/>
          </w:tcPr>
          <w:p w14:paraId="1BD41704"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0.02</w:t>
            </w:r>
          </w:p>
        </w:tc>
        <w:tc>
          <w:tcPr>
            <w:tcW w:w="1170" w:type="dxa"/>
            <w:tcBorders>
              <w:top w:val="nil"/>
              <w:left w:val="nil"/>
              <w:bottom w:val="single" w:sz="4" w:space="0" w:color="auto"/>
              <w:right w:val="single" w:sz="4" w:space="0" w:color="auto"/>
            </w:tcBorders>
            <w:shd w:val="clear" w:color="auto" w:fill="auto"/>
            <w:noWrap/>
            <w:vAlign w:val="bottom"/>
            <w:hideMark/>
          </w:tcPr>
          <w:p w14:paraId="3283B20C"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0.09%</w:t>
            </w:r>
          </w:p>
        </w:tc>
        <w:tc>
          <w:tcPr>
            <w:tcW w:w="1106" w:type="dxa"/>
            <w:tcBorders>
              <w:top w:val="nil"/>
              <w:left w:val="nil"/>
              <w:bottom w:val="single" w:sz="4" w:space="0" w:color="auto"/>
              <w:right w:val="single" w:sz="4" w:space="0" w:color="auto"/>
            </w:tcBorders>
            <w:shd w:val="clear" w:color="auto" w:fill="auto"/>
            <w:noWrap/>
            <w:vAlign w:val="bottom"/>
            <w:hideMark/>
          </w:tcPr>
          <w:p w14:paraId="015235AE"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0.28</w:t>
            </w:r>
          </w:p>
        </w:tc>
        <w:tc>
          <w:tcPr>
            <w:tcW w:w="694" w:type="dxa"/>
            <w:tcBorders>
              <w:top w:val="nil"/>
              <w:left w:val="nil"/>
              <w:bottom w:val="single" w:sz="4" w:space="0" w:color="auto"/>
              <w:right w:val="single" w:sz="4" w:space="0" w:color="auto"/>
            </w:tcBorders>
            <w:shd w:val="clear" w:color="auto" w:fill="auto"/>
            <w:noWrap/>
            <w:vAlign w:val="bottom"/>
            <w:hideMark/>
          </w:tcPr>
          <w:p w14:paraId="49E1F3FB"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0.53%</w:t>
            </w:r>
          </w:p>
        </w:tc>
      </w:tr>
      <w:tr w:rsidR="009D0FBA" w:rsidRPr="009D0FBA" w14:paraId="3F409DF8"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19F2C849"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lastRenderedPageBreak/>
              <w:t>ascsyr</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11FA4900"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Common Milkweed</w:t>
            </w:r>
          </w:p>
        </w:tc>
        <w:tc>
          <w:tcPr>
            <w:tcW w:w="2880" w:type="dxa"/>
            <w:tcBorders>
              <w:top w:val="nil"/>
              <w:left w:val="nil"/>
              <w:bottom w:val="single" w:sz="4" w:space="0" w:color="auto"/>
              <w:right w:val="single" w:sz="4" w:space="0" w:color="auto"/>
            </w:tcBorders>
            <w:shd w:val="clear" w:color="000000" w:fill="A9D08E"/>
            <w:noWrap/>
            <w:vAlign w:val="bottom"/>
            <w:hideMark/>
          </w:tcPr>
          <w:p w14:paraId="49CF4C7B"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 xml:space="preserve">Asclepias </w:t>
            </w:r>
            <w:proofErr w:type="spellStart"/>
            <w:r w:rsidRPr="009D0FBA">
              <w:rPr>
                <w:rFonts w:ascii="Arial" w:eastAsia="Times New Roman" w:hAnsi="Arial" w:cs="Arial"/>
                <w:color w:val="000000"/>
                <w:sz w:val="20"/>
                <w:szCs w:val="20"/>
              </w:rPr>
              <w:t>syriaca</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30B5EF77"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0.10</w:t>
            </w:r>
          </w:p>
        </w:tc>
        <w:tc>
          <w:tcPr>
            <w:tcW w:w="1170" w:type="dxa"/>
            <w:tcBorders>
              <w:top w:val="nil"/>
              <w:left w:val="nil"/>
              <w:bottom w:val="single" w:sz="4" w:space="0" w:color="auto"/>
              <w:right w:val="single" w:sz="4" w:space="0" w:color="auto"/>
            </w:tcBorders>
            <w:shd w:val="clear" w:color="auto" w:fill="auto"/>
            <w:noWrap/>
            <w:vAlign w:val="bottom"/>
            <w:hideMark/>
          </w:tcPr>
          <w:p w14:paraId="4EB06778"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0.43%</w:t>
            </w:r>
          </w:p>
        </w:tc>
        <w:tc>
          <w:tcPr>
            <w:tcW w:w="1106" w:type="dxa"/>
            <w:tcBorders>
              <w:top w:val="nil"/>
              <w:left w:val="nil"/>
              <w:bottom w:val="single" w:sz="4" w:space="0" w:color="auto"/>
              <w:right w:val="single" w:sz="4" w:space="0" w:color="auto"/>
            </w:tcBorders>
            <w:shd w:val="clear" w:color="auto" w:fill="auto"/>
            <w:noWrap/>
            <w:vAlign w:val="bottom"/>
            <w:hideMark/>
          </w:tcPr>
          <w:p w14:paraId="607E4C1F"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0.15</w:t>
            </w:r>
          </w:p>
        </w:tc>
        <w:tc>
          <w:tcPr>
            <w:tcW w:w="694" w:type="dxa"/>
            <w:tcBorders>
              <w:top w:val="nil"/>
              <w:left w:val="nil"/>
              <w:bottom w:val="single" w:sz="4" w:space="0" w:color="auto"/>
              <w:right w:val="single" w:sz="4" w:space="0" w:color="auto"/>
            </w:tcBorders>
            <w:shd w:val="clear" w:color="auto" w:fill="auto"/>
            <w:noWrap/>
            <w:vAlign w:val="bottom"/>
            <w:hideMark/>
          </w:tcPr>
          <w:p w14:paraId="683B1FD2"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0.28%</w:t>
            </w:r>
          </w:p>
        </w:tc>
      </w:tr>
      <w:tr w:rsidR="009D0FBA" w:rsidRPr="009D0FBA" w14:paraId="043E0E80"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CF91567"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asctub</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6AB6CFE1"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Butterfly Milkweed</w:t>
            </w:r>
          </w:p>
        </w:tc>
        <w:tc>
          <w:tcPr>
            <w:tcW w:w="2880" w:type="dxa"/>
            <w:tcBorders>
              <w:top w:val="nil"/>
              <w:left w:val="nil"/>
              <w:bottom w:val="single" w:sz="4" w:space="0" w:color="auto"/>
              <w:right w:val="single" w:sz="4" w:space="0" w:color="auto"/>
            </w:tcBorders>
            <w:shd w:val="clear" w:color="000000" w:fill="A9D08E"/>
            <w:noWrap/>
            <w:vAlign w:val="bottom"/>
            <w:hideMark/>
          </w:tcPr>
          <w:p w14:paraId="0251E52D"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Asclepias tuberosa</w:t>
            </w:r>
          </w:p>
        </w:tc>
        <w:tc>
          <w:tcPr>
            <w:tcW w:w="900" w:type="dxa"/>
            <w:tcBorders>
              <w:top w:val="nil"/>
              <w:left w:val="nil"/>
              <w:bottom w:val="single" w:sz="4" w:space="0" w:color="auto"/>
              <w:right w:val="single" w:sz="4" w:space="0" w:color="auto"/>
            </w:tcBorders>
            <w:shd w:val="clear" w:color="auto" w:fill="auto"/>
            <w:noWrap/>
            <w:vAlign w:val="bottom"/>
            <w:hideMark/>
          </w:tcPr>
          <w:p w14:paraId="1AD19B2F"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0.06</w:t>
            </w:r>
          </w:p>
        </w:tc>
        <w:tc>
          <w:tcPr>
            <w:tcW w:w="1170" w:type="dxa"/>
            <w:tcBorders>
              <w:top w:val="nil"/>
              <w:left w:val="nil"/>
              <w:bottom w:val="single" w:sz="4" w:space="0" w:color="auto"/>
              <w:right w:val="single" w:sz="4" w:space="0" w:color="auto"/>
            </w:tcBorders>
            <w:shd w:val="clear" w:color="auto" w:fill="auto"/>
            <w:noWrap/>
            <w:vAlign w:val="bottom"/>
            <w:hideMark/>
          </w:tcPr>
          <w:p w14:paraId="763B1784"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0.26%</w:t>
            </w:r>
          </w:p>
        </w:tc>
        <w:tc>
          <w:tcPr>
            <w:tcW w:w="1106" w:type="dxa"/>
            <w:tcBorders>
              <w:top w:val="nil"/>
              <w:left w:val="nil"/>
              <w:bottom w:val="single" w:sz="4" w:space="0" w:color="auto"/>
              <w:right w:val="single" w:sz="4" w:space="0" w:color="auto"/>
            </w:tcBorders>
            <w:shd w:val="clear" w:color="auto" w:fill="auto"/>
            <w:noWrap/>
            <w:vAlign w:val="bottom"/>
            <w:hideMark/>
          </w:tcPr>
          <w:p w14:paraId="540211B2"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0.09</w:t>
            </w:r>
          </w:p>
        </w:tc>
        <w:tc>
          <w:tcPr>
            <w:tcW w:w="694" w:type="dxa"/>
            <w:tcBorders>
              <w:top w:val="nil"/>
              <w:left w:val="nil"/>
              <w:bottom w:val="single" w:sz="4" w:space="0" w:color="auto"/>
              <w:right w:val="single" w:sz="4" w:space="0" w:color="auto"/>
            </w:tcBorders>
            <w:shd w:val="clear" w:color="auto" w:fill="auto"/>
            <w:noWrap/>
            <w:vAlign w:val="bottom"/>
            <w:hideMark/>
          </w:tcPr>
          <w:p w14:paraId="6E6DC57C"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0.18%</w:t>
            </w:r>
          </w:p>
        </w:tc>
      </w:tr>
      <w:tr w:rsidR="009D0FBA" w:rsidRPr="009D0FBA" w14:paraId="00BD9E9D"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5BBF0011"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ascver</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49727586"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Whorled Milkweed</w:t>
            </w:r>
          </w:p>
        </w:tc>
        <w:tc>
          <w:tcPr>
            <w:tcW w:w="2880" w:type="dxa"/>
            <w:tcBorders>
              <w:top w:val="nil"/>
              <w:left w:val="nil"/>
              <w:bottom w:val="single" w:sz="4" w:space="0" w:color="auto"/>
              <w:right w:val="single" w:sz="4" w:space="0" w:color="auto"/>
            </w:tcBorders>
            <w:shd w:val="clear" w:color="000000" w:fill="A9D08E"/>
            <w:noWrap/>
            <w:vAlign w:val="bottom"/>
            <w:hideMark/>
          </w:tcPr>
          <w:p w14:paraId="47137E5B"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 xml:space="preserve">Asclepias </w:t>
            </w:r>
            <w:proofErr w:type="spellStart"/>
            <w:r w:rsidRPr="009D0FBA">
              <w:rPr>
                <w:rFonts w:ascii="Arial" w:eastAsia="Times New Roman" w:hAnsi="Arial" w:cs="Arial"/>
                <w:color w:val="000000"/>
                <w:sz w:val="20"/>
                <w:szCs w:val="20"/>
              </w:rPr>
              <w:t>verticillata</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51E33962"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0.03</w:t>
            </w:r>
          </w:p>
        </w:tc>
        <w:tc>
          <w:tcPr>
            <w:tcW w:w="1170" w:type="dxa"/>
            <w:tcBorders>
              <w:top w:val="nil"/>
              <w:left w:val="nil"/>
              <w:bottom w:val="single" w:sz="4" w:space="0" w:color="auto"/>
              <w:right w:val="single" w:sz="4" w:space="0" w:color="auto"/>
            </w:tcBorders>
            <w:shd w:val="clear" w:color="auto" w:fill="auto"/>
            <w:noWrap/>
            <w:vAlign w:val="bottom"/>
            <w:hideMark/>
          </w:tcPr>
          <w:p w14:paraId="151D33A7"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0.13%</w:t>
            </w:r>
          </w:p>
        </w:tc>
        <w:tc>
          <w:tcPr>
            <w:tcW w:w="1106" w:type="dxa"/>
            <w:tcBorders>
              <w:top w:val="nil"/>
              <w:left w:val="nil"/>
              <w:bottom w:val="single" w:sz="4" w:space="0" w:color="auto"/>
              <w:right w:val="single" w:sz="4" w:space="0" w:color="auto"/>
            </w:tcBorders>
            <w:shd w:val="clear" w:color="auto" w:fill="auto"/>
            <w:noWrap/>
            <w:vAlign w:val="bottom"/>
            <w:hideMark/>
          </w:tcPr>
          <w:p w14:paraId="1C535959"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0.12</w:t>
            </w:r>
          </w:p>
        </w:tc>
        <w:tc>
          <w:tcPr>
            <w:tcW w:w="694" w:type="dxa"/>
            <w:tcBorders>
              <w:top w:val="nil"/>
              <w:left w:val="nil"/>
              <w:bottom w:val="single" w:sz="4" w:space="0" w:color="auto"/>
              <w:right w:val="single" w:sz="4" w:space="0" w:color="auto"/>
            </w:tcBorders>
            <w:shd w:val="clear" w:color="auto" w:fill="auto"/>
            <w:noWrap/>
            <w:vAlign w:val="bottom"/>
            <w:hideMark/>
          </w:tcPr>
          <w:p w14:paraId="44977057"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0.23%</w:t>
            </w:r>
          </w:p>
        </w:tc>
      </w:tr>
      <w:tr w:rsidR="009D0FBA" w:rsidRPr="009D0FBA" w14:paraId="1F3D6C42"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057A9AD2"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astcan</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4B921D17"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Canada Milkvetch</w:t>
            </w:r>
          </w:p>
        </w:tc>
        <w:tc>
          <w:tcPr>
            <w:tcW w:w="2880" w:type="dxa"/>
            <w:tcBorders>
              <w:top w:val="nil"/>
              <w:left w:val="nil"/>
              <w:bottom w:val="single" w:sz="4" w:space="0" w:color="auto"/>
              <w:right w:val="single" w:sz="4" w:space="0" w:color="auto"/>
            </w:tcBorders>
            <w:shd w:val="clear" w:color="000000" w:fill="A9D08E"/>
            <w:noWrap/>
            <w:vAlign w:val="bottom"/>
            <w:hideMark/>
          </w:tcPr>
          <w:p w14:paraId="3F72E689"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Astragalus canadensis</w:t>
            </w:r>
          </w:p>
        </w:tc>
        <w:tc>
          <w:tcPr>
            <w:tcW w:w="900" w:type="dxa"/>
            <w:tcBorders>
              <w:top w:val="nil"/>
              <w:left w:val="nil"/>
              <w:bottom w:val="single" w:sz="4" w:space="0" w:color="auto"/>
              <w:right w:val="single" w:sz="4" w:space="0" w:color="auto"/>
            </w:tcBorders>
            <w:shd w:val="clear" w:color="auto" w:fill="auto"/>
            <w:noWrap/>
            <w:vAlign w:val="bottom"/>
            <w:hideMark/>
          </w:tcPr>
          <w:p w14:paraId="3602F4EE"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0.12</w:t>
            </w:r>
          </w:p>
        </w:tc>
        <w:tc>
          <w:tcPr>
            <w:tcW w:w="1170" w:type="dxa"/>
            <w:tcBorders>
              <w:top w:val="nil"/>
              <w:left w:val="nil"/>
              <w:bottom w:val="single" w:sz="4" w:space="0" w:color="auto"/>
              <w:right w:val="single" w:sz="4" w:space="0" w:color="auto"/>
            </w:tcBorders>
            <w:shd w:val="clear" w:color="auto" w:fill="auto"/>
            <w:noWrap/>
            <w:vAlign w:val="bottom"/>
            <w:hideMark/>
          </w:tcPr>
          <w:p w14:paraId="2A7B1C2A"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0.52%</w:t>
            </w:r>
          </w:p>
        </w:tc>
        <w:tc>
          <w:tcPr>
            <w:tcW w:w="1106" w:type="dxa"/>
            <w:tcBorders>
              <w:top w:val="nil"/>
              <w:left w:val="nil"/>
              <w:bottom w:val="single" w:sz="4" w:space="0" w:color="auto"/>
              <w:right w:val="single" w:sz="4" w:space="0" w:color="auto"/>
            </w:tcBorders>
            <w:shd w:val="clear" w:color="auto" w:fill="auto"/>
            <w:noWrap/>
            <w:vAlign w:val="bottom"/>
            <w:hideMark/>
          </w:tcPr>
          <w:p w14:paraId="4FF43898"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0.75</w:t>
            </w:r>
          </w:p>
        </w:tc>
        <w:tc>
          <w:tcPr>
            <w:tcW w:w="694" w:type="dxa"/>
            <w:tcBorders>
              <w:top w:val="nil"/>
              <w:left w:val="nil"/>
              <w:bottom w:val="single" w:sz="4" w:space="0" w:color="auto"/>
              <w:right w:val="single" w:sz="4" w:space="0" w:color="auto"/>
            </w:tcBorders>
            <w:shd w:val="clear" w:color="auto" w:fill="auto"/>
            <w:noWrap/>
            <w:vAlign w:val="bottom"/>
            <w:hideMark/>
          </w:tcPr>
          <w:p w14:paraId="672C080B"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1.42%</w:t>
            </w:r>
          </w:p>
        </w:tc>
      </w:tr>
      <w:tr w:rsidR="009D0FBA" w:rsidRPr="009D0FBA" w14:paraId="04149829"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126EE6C9"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astcra</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43987972"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Ground Plum</w:t>
            </w:r>
          </w:p>
        </w:tc>
        <w:tc>
          <w:tcPr>
            <w:tcW w:w="2880" w:type="dxa"/>
            <w:tcBorders>
              <w:top w:val="nil"/>
              <w:left w:val="nil"/>
              <w:bottom w:val="single" w:sz="4" w:space="0" w:color="auto"/>
              <w:right w:val="single" w:sz="4" w:space="0" w:color="auto"/>
            </w:tcBorders>
            <w:shd w:val="clear" w:color="000000" w:fill="A9D08E"/>
            <w:noWrap/>
            <w:vAlign w:val="bottom"/>
            <w:hideMark/>
          </w:tcPr>
          <w:p w14:paraId="4B77EEBE"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 xml:space="preserve">Astragalus </w:t>
            </w:r>
            <w:proofErr w:type="spellStart"/>
            <w:r w:rsidRPr="009D0FBA">
              <w:rPr>
                <w:rFonts w:ascii="Arial" w:eastAsia="Times New Roman" w:hAnsi="Arial" w:cs="Arial"/>
                <w:color w:val="000000"/>
                <w:sz w:val="20"/>
                <w:szCs w:val="20"/>
              </w:rPr>
              <w:t>crassicarpus</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530ED12E"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0.02</w:t>
            </w:r>
          </w:p>
        </w:tc>
        <w:tc>
          <w:tcPr>
            <w:tcW w:w="1170" w:type="dxa"/>
            <w:tcBorders>
              <w:top w:val="nil"/>
              <w:left w:val="nil"/>
              <w:bottom w:val="single" w:sz="4" w:space="0" w:color="auto"/>
              <w:right w:val="single" w:sz="4" w:space="0" w:color="auto"/>
            </w:tcBorders>
            <w:shd w:val="clear" w:color="auto" w:fill="auto"/>
            <w:noWrap/>
            <w:vAlign w:val="bottom"/>
            <w:hideMark/>
          </w:tcPr>
          <w:p w14:paraId="7A7BA999"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0.09%</w:t>
            </w:r>
          </w:p>
        </w:tc>
        <w:tc>
          <w:tcPr>
            <w:tcW w:w="1106" w:type="dxa"/>
            <w:tcBorders>
              <w:top w:val="nil"/>
              <w:left w:val="nil"/>
              <w:bottom w:val="single" w:sz="4" w:space="0" w:color="auto"/>
              <w:right w:val="single" w:sz="4" w:space="0" w:color="auto"/>
            </w:tcBorders>
            <w:shd w:val="clear" w:color="auto" w:fill="auto"/>
            <w:noWrap/>
            <w:vAlign w:val="bottom"/>
            <w:hideMark/>
          </w:tcPr>
          <w:p w14:paraId="75265541"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0.04</w:t>
            </w:r>
          </w:p>
        </w:tc>
        <w:tc>
          <w:tcPr>
            <w:tcW w:w="694" w:type="dxa"/>
            <w:tcBorders>
              <w:top w:val="nil"/>
              <w:left w:val="nil"/>
              <w:bottom w:val="single" w:sz="4" w:space="0" w:color="auto"/>
              <w:right w:val="single" w:sz="4" w:space="0" w:color="auto"/>
            </w:tcBorders>
            <w:shd w:val="clear" w:color="auto" w:fill="auto"/>
            <w:noWrap/>
            <w:vAlign w:val="bottom"/>
            <w:hideMark/>
          </w:tcPr>
          <w:p w14:paraId="5AA1966C"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0.07%</w:t>
            </w:r>
          </w:p>
        </w:tc>
      </w:tr>
      <w:tr w:rsidR="009D0FBA" w:rsidRPr="009D0FBA" w14:paraId="46436947"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51E1817"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corpal</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0E8EF0DE"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Prairie Coreopsis</w:t>
            </w:r>
          </w:p>
        </w:tc>
        <w:tc>
          <w:tcPr>
            <w:tcW w:w="2880" w:type="dxa"/>
            <w:tcBorders>
              <w:top w:val="nil"/>
              <w:left w:val="nil"/>
              <w:bottom w:val="single" w:sz="4" w:space="0" w:color="auto"/>
              <w:right w:val="single" w:sz="4" w:space="0" w:color="auto"/>
            </w:tcBorders>
            <w:shd w:val="clear" w:color="000000" w:fill="A9D08E"/>
            <w:noWrap/>
            <w:vAlign w:val="bottom"/>
            <w:hideMark/>
          </w:tcPr>
          <w:p w14:paraId="1CBB2534"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 xml:space="preserve">Coreopsis </w:t>
            </w:r>
            <w:proofErr w:type="spellStart"/>
            <w:r w:rsidRPr="009D0FBA">
              <w:rPr>
                <w:rFonts w:ascii="Arial" w:eastAsia="Times New Roman" w:hAnsi="Arial" w:cs="Arial"/>
                <w:color w:val="000000"/>
                <w:sz w:val="20"/>
                <w:szCs w:val="20"/>
              </w:rPr>
              <w:t>palmata</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528F0A57"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0.03</w:t>
            </w:r>
          </w:p>
        </w:tc>
        <w:tc>
          <w:tcPr>
            <w:tcW w:w="1170" w:type="dxa"/>
            <w:tcBorders>
              <w:top w:val="nil"/>
              <w:left w:val="nil"/>
              <w:bottom w:val="single" w:sz="4" w:space="0" w:color="auto"/>
              <w:right w:val="single" w:sz="4" w:space="0" w:color="auto"/>
            </w:tcBorders>
            <w:shd w:val="clear" w:color="auto" w:fill="auto"/>
            <w:noWrap/>
            <w:vAlign w:val="bottom"/>
            <w:hideMark/>
          </w:tcPr>
          <w:p w14:paraId="548C8C43"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0.13%</w:t>
            </w:r>
          </w:p>
        </w:tc>
        <w:tc>
          <w:tcPr>
            <w:tcW w:w="1106" w:type="dxa"/>
            <w:tcBorders>
              <w:top w:val="nil"/>
              <w:left w:val="nil"/>
              <w:bottom w:val="single" w:sz="4" w:space="0" w:color="auto"/>
              <w:right w:val="single" w:sz="4" w:space="0" w:color="auto"/>
            </w:tcBorders>
            <w:shd w:val="clear" w:color="auto" w:fill="auto"/>
            <w:noWrap/>
            <w:vAlign w:val="bottom"/>
            <w:hideMark/>
          </w:tcPr>
          <w:p w14:paraId="2EEDCC52"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0.11</w:t>
            </w:r>
          </w:p>
        </w:tc>
        <w:tc>
          <w:tcPr>
            <w:tcW w:w="694" w:type="dxa"/>
            <w:tcBorders>
              <w:top w:val="nil"/>
              <w:left w:val="nil"/>
              <w:bottom w:val="single" w:sz="4" w:space="0" w:color="auto"/>
              <w:right w:val="single" w:sz="4" w:space="0" w:color="auto"/>
            </w:tcBorders>
            <w:shd w:val="clear" w:color="auto" w:fill="auto"/>
            <w:noWrap/>
            <w:vAlign w:val="bottom"/>
            <w:hideMark/>
          </w:tcPr>
          <w:p w14:paraId="73C4216E"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0.21%</w:t>
            </w:r>
          </w:p>
        </w:tc>
      </w:tr>
      <w:tr w:rsidR="009D0FBA" w:rsidRPr="009D0FBA" w14:paraId="6070C79F"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32AAD6C"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dalcan</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374BDFE7"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White Prairie Clover</w:t>
            </w:r>
          </w:p>
        </w:tc>
        <w:tc>
          <w:tcPr>
            <w:tcW w:w="2880" w:type="dxa"/>
            <w:tcBorders>
              <w:top w:val="nil"/>
              <w:left w:val="nil"/>
              <w:bottom w:val="single" w:sz="4" w:space="0" w:color="auto"/>
              <w:right w:val="single" w:sz="4" w:space="0" w:color="auto"/>
            </w:tcBorders>
            <w:shd w:val="clear" w:color="000000" w:fill="A9D08E"/>
            <w:noWrap/>
            <w:vAlign w:val="bottom"/>
            <w:hideMark/>
          </w:tcPr>
          <w:p w14:paraId="74D96852"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Dalea candida</w:t>
            </w:r>
          </w:p>
        </w:tc>
        <w:tc>
          <w:tcPr>
            <w:tcW w:w="900" w:type="dxa"/>
            <w:tcBorders>
              <w:top w:val="nil"/>
              <w:left w:val="nil"/>
              <w:bottom w:val="single" w:sz="4" w:space="0" w:color="auto"/>
              <w:right w:val="single" w:sz="4" w:space="0" w:color="auto"/>
            </w:tcBorders>
            <w:shd w:val="clear" w:color="auto" w:fill="auto"/>
            <w:noWrap/>
            <w:vAlign w:val="bottom"/>
            <w:hideMark/>
          </w:tcPr>
          <w:p w14:paraId="538415F6"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0.25</w:t>
            </w:r>
          </w:p>
        </w:tc>
        <w:tc>
          <w:tcPr>
            <w:tcW w:w="1170" w:type="dxa"/>
            <w:tcBorders>
              <w:top w:val="nil"/>
              <w:left w:val="nil"/>
              <w:bottom w:val="single" w:sz="4" w:space="0" w:color="auto"/>
              <w:right w:val="single" w:sz="4" w:space="0" w:color="auto"/>
            </w:tcBorders>
            <w:shd w:val="clear" w:color="auto" w:fill="auto"/>
            <w:noWrap/>
            <w:vAlign w:val="bottom"/>
            <w:hideMark/>
          </w:tcPr>
          <w:p w14:paraId="0D4B6818"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1.08%</w:t>
            </w:r>
          </w:p>
        </w:tc>
        <w:tc>
          <w:tcPr>
            <w:tcW w:w="1106" w:type="dxa"/>
            <w:tcBorders>
              <w:top w:val="nil"/>
              <w:left w:val="nil"/>
              <w:bottom w:val="single" w:sz="4" w:space="0" w:color="auto"/>
              <w:right w:val="single" w:sz="4" w:space="0" w:color="auto"/>
            </w:tcBorders>
            <w:shd w:val="clear" w:color="auto" w:fill="auto"/>
            <w:noWrap/>
            <w:vAlign w:val="bottom"/>
            <w:hideMark/>
          </w:tcPr>
          <w:p w14:paraId="20E51F83"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1.74</w:t>
            </w:r>
          </w:p>
        </w:tc>
        <w:tc>
          <w:tcPr>
            <w:tcW w:w="694" w:type="dxa"/>
            <w:tcBorders>
              <w:top w:val="nil"/>
              <w:left w:val="nil"/>
              <w:bottom w:val="single" w:sz="4" w:space="0" w:color="auto"/>
              <w:right w:val="single" w:sz="4" w:space="0" w:color="auto"/>
            </w:tcBorders>
            <w:shd w:val="clear" w:color="auto" w:fill="auto"/>
            <w:noWrap/>
            <w:vAlign w:val="bottom"/>
            <w:hideMark/>
          </w:tcPr>
          <w:p w14:paraId="10F6A050"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3.30%</w:t>
            </w:r>
          </w:p>
        </w:tc>
      </w:tr>
      <w:tr w:rsidR="009D0FBA" w:rsidRPr="009D0FBA" w14:paraId="1603F32A"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1A6FF31"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dalpur</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5E98F23C"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Purple Prairie Clover</w:t>
            </w:r>
          </w:p>
        </w:tc>
        <w:tc>
          <w:tcPr>
            <w:tcW w:w="2880" w:type="dxa"/>
            <w:tcBorders>
              <w:top w:val="nil"/>
              <w:left w:val="nil"/>
              <w:bottom w:val="single" w:sz="4" w:space="0" w:color="auto"/>
              <w:right w:val="single" w:sz="4" w:space="0" w:color="auto"/>
            </w:tcBorders>
            <w:shd w:val="clear" w:color="000000" w:fill="A9D08E"/>
            <w:noWrap/>
            <w:vAlign w:val="bottom"/>
            <w:hideMark/>
          </w:tcPr>
          <w:p w14:paraId="2C91D62B"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Dalea purpurea</w:t>
            </w:r>
          </w:p>
        </w:tc>
        <w:tc>
          <w:tcPr>
            <w:tcW w:w="900" w:type="dxa"/>
            <w:tcBorders>
              <w:top w:val="nil"/>
              <w:left w:val="nil"/>
              <w:bottom w:val="single" w:sz="4" w:space="0" w:color="auto"/>
              <w:right w:val="single" w:sz="4" w:space="0" w:color="auto"/>
            </w:tcBorders>
            <w:shd w:val="clear" w:color="auto" w:fill="auto"/>
            <w:noWrap/>
            <w:vAlign w:val="bottom"/>
            <w:hideMark/>
          </w:tcPr>
          <w:p w14:paraId="71D1F873"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0.45</w:t>
            </w:r>
          </w:p>
        </w:tc>
        <w:tc>
          <w:tcPr>
            <w:tcW w:w="1170" w:type="dxa"/>
            <w:tcBorders>
              <w:top w:val="nil"/>
              <w:left w:val="nil"/>
              <w:bottom w:val="single" w:sz="4" w:space="0" w:color="auto"/>
              <w:right w:val="single" w:sz="4" w:space="0" w:color="auto"/>
            </w:tcBorders>
            <w:shd w:val="clear" w:color="auto" w:fill="auto"/>
            <w:noWrap/>
            <w:vAlign w:val="bottom"/>
            <w:hideMark/>
          </w:tcPr>
          <w:p w14:paraId="1F3542E6"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1.95%</w:t>
            </w:r>
          </w:p>
        </w:tc>
        <w:tc>
          <w:tcPr>
            <w:tcW w:w="1106" w:type="dxa"/>
            <w:tcBorders>
              <w:top w:val="nil"/>
              <w:left w:val="nil"/>
              <w:bottom w:val="single" w:sz="4" w:space="0" w:color="auto"/>
              <w:right w:val="single" w:sz="4" w:space="0" w:color="auto"/>
            </w:tcBorders>
            <w:shd w:val="clear" w:color="auto" w:fill="auto"/>
            <w:noWrap/>
            <w:vAlign w:val="bottom"/>
            <w:hideMark/>
          </w:tcPr>
          <w:p w14:paraId="5954336A"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2.48</w:t>
            </w:r>
          </w:p>
        </w:tc>
        <w:tc>
          <w:tcPr>
            <w:tcW w:w="694" w:type="dxa"/>
            <w:tcBorders>
              <w:top w:val="nil"/>
              <w:left w:val="nil"/>
              <w:bottom w:val="single" w:sz="4" w:space="0" w:color="auto"/>
              <w:right w:val="single" w:sz="4" w:space="0" w:color="auto"/>
            </w:tcBorders>
            <w:shd w:val="clear" w:color="auto" w:fill="auto"/>
            <w:noWrap/>
            <w:vAlign w:val="bottom"/>
            <w:hideMark/>
          </w:tcPr>
          <w:p w14:paraId="0E455CC0"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4.68%</w:t>
            </w:r>
          </w:p>
        </w:tc>
      </w:tr>
      <w:tr w:rsidR="009D0FBA" w:rsidRPr="009D0FBA" w14:paraId="7A8FD44B"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30945BB0"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descan</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468E4913"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Showy Tick Trefoil</w:t>
            </w:r>
          </w:p>
        </w:tc>
        <w:tc>
          <w:tcPr>
            <w:tcW w:w="2880" w:type="dxa"/>
            <w:tcBorders>
              <w:top w:val="nil"/>
              <w:left w:val="nil"/>
              <w:bottom w:val="single" w:sz="4" w:space="0" w:color="auto"/>
              <w:right w:val="single" w:sz="4" w:space="0" w:color="auto"/>
            </w:tcBorders>
            <w:shd w:val="clear" w:color="000000" w:fill="A9D08E"/>
            <w:noWrap/>
            <w:vAlign w:val="bottom"/>
            <w:hideMark/>
          </w:tcPr>
          <w:p w14:paraId="5B964B72"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Desmodium</w:t>
            </w:r>
            <w:proofErr w:type="spellEnd"/>
            <w:r w:rsidRPr="009D0FBA">
              <w:rPr>
                <w:rFonts w:ascii="Arial" w:eastAsia="Times New Roman" w:hAnsi="Arial" w:cs="Arial"/>
                <w:color w:val="000000"/>
                <w:sz w:val="20"/>
                <w:szCs w:val="20"/>
              </w:rPr>
              <w:t xml:space="preserve"> canadense</w:t>
            </w:r>
          </w:p>
        </w:tc>
        <w:tc>
          <w:tcPr>
            <w:tcW w:w="900" w:type="dxa"/>
            <w:tcBorders>
              <w:top w:val="nil"/>
              <w:left w:val="nil"/>
              <w:bottom w:val="single" w:sz="4" w:space="0" w:color="auto"/>
              <w:right w:val="single" w:sz="4" w:space="0" w:color="auto"/>
            </w:tcBorders>
            <w:shd w:val="clear" w:color="auto" w:fill="auto"/>
            <w:noWrap/>
            <w:vAlign w:val="bottom"/>
            <w:hideMark/>
          </w:tcPr>
          <w:p w14:paraId="2FD943AF"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0.12</w:t>
            </w:r>
          </w:p>
        </w:tc>
        <w:tc>
          <w:tcPr>
            <w:tcW w:w="1170" w:type="dxa"/>
            <w:tcBorders>
              <w:top w:val="nil"/>
              <w:left w:val="nil"/>
              <w:bottom w:val="single" w:sz="4" w:space="0" w:color="auto"/>
              <w:right w:val="single" w:sz="4" w:space="0" w:color="auto"/>
            </w:tcBorders>
            <w:shd w:val="clear" w:color="auto" w:fill="auto"/>
            <w:noWrap/>
            <w:vAlign w:val="bottom"/>
            <w:hideMark/>
          </w:tcPr>
          <w:p w14:paraId="3D06604C"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0.52%</w:t>
            </w:r>
          </w:p>
        </w:tc>
        <w:tc>
          <w:tcPr>
            <w:tcW w:w="1106" w:type="dxa"/>
            <w:tcBorders>
              <w:top w:val="nil"/>
              <w:left w:val="nil"/>
              <w:bottom w:val="single" w:sz="4" w:space="0" w:color="auto"/>
              <w:right w:val="single" w:sz="4" w:space="0" w:color="auto"/>
            </w:tcBorders>
            <w:shd w:val="clear" w:color="auto" w:fill="auto"/>
            <w:noWrap/>
            <w:vAlign w:val="bottom"/>
            <w:hideMark/>
          </w:tcPr>
          <w:p w14:paraId="38A927A4"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0.24</w:t>
            </w:r>
          </w:p>
        </w:tc>
        <w:tc>
          <w:tcPr>
            <w:tcW w:w="694" w:type="dxa"/>
            <w:tcBorders>
              <w:top w:val="nil"/>
              <w:left w:val="nil"/>
              <w:bottom w:val="single" w:sz="4" w:space="0" w:color="auto"/>
              <w:right w:val="single" w:sz="4" w:space="0" w:color="auto"/>
            </w:tcBorders>
            <w:shd w:val="clear" w:color="auto" w:fill="auto"/>
            <w:noWrap/>
            <w:vAlign w:val="bottom"/>
            <w:hideMark/>
          </w:tcPr>
          <w:p w14:paraId="4C6284DC"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0.46%</w:t>
            </w:r>
          </w:p>
        </w:tc>
      </w:tr>
      <w:tr w:rsidR="009D0FBA" w:rsidRPr="009D0FBA" w14:paraId="5C307DA3"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AD0426B"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echang</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229108C5"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Narrow-leaved Coneflower</w:t>
            </w:r>
          </w:p>
        </w:tc>
        <w:tc>
          <w:tcPr>
            <w:tcW w:w="2880" w:type="dxa"/>
            <w:tcBorders>
              <w:top w:val="nil"/>
              <w:left w:val="nil"/>
              <w:bottom w:val="single" w:sz="4" w:space="0" w:color="auto"/>
              <w:right w:val="single" w:sz="4" w:space="0" w:color="auto"/>
            </w:tcBorders>
            <w:shd w:val="clear" w:color="000000" w:fill="A9D08E"/>
            <w:noWrap/>
            <w:vAlign w:val="bottom"/>
            <w:hideMark/>
          </w:tcPr>
          <w:p w14:paraId="310A37D2"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Echinacea angustifolia</w:t>
            </w:r>
          </w:p>
        </w:tc>
        <w:tc>
          <w:tcPr>
            <w:tcW w:w="900" w:type="dxa"/>
            <w:tcBorders>
              <w:top w:val="nil"/>
              <w:left w:val="nil"/>
              <w:bottom w:val="single" w:sz="4" w:space="0" w:color="auto"/>
              <w:right w:val="single" w:sz="4" w:space="0" w:color="auto"/>
            </w:tcBorders>
            <w:shd w:val="clear" w:color="auto" w:fill="auto"/>
            <w:noWrap/>
            <w:vAlign w:val="bottom"/>
            <w:hideMark/>
          </w:tcPr>
          <w:p w14:paraId="700C4D5A"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0.06</w:t>
            </w:r>
          </w:p>
        </w:tc>
        <w:tc>
          <w:tcPr>
            <w:tcW w:w="1170" w:type="dxa"/>
            <w:tcBorders>
              <w:top w:val="nil"/>
              <w:left w:val="nil"/>
              <w:bottom w:val="single" w:sz="4" w:space="0" w:color="auto"/>
              <w:right w:val="single" w:sz="4" w:space="0" w:color="auto"/>
            </w:tcBorders>
            <w:shd w:val="clear" w:color="auto" w:fill="auto"/>
            <w:noWrap/>
            <w:vAlign w:val="bottom"/>
            <w:hideMark/>
          </w:tcPr>
          <w:p w14:paraId="23005C46"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0.26%</w:t>
            </w:r>
          </w:p>
        </w:tc>
        <w:tc>
          <w:tcPr>
            <w:tcW w:w="1106" w:type="dxa"/>
            <w:tcBorders>
              <w:top w:val="nil"/>
              <w:left w:val="nil"/>
              <w:bottom w:val="single" w:sz="4" w:space="0" w:color="auto"/>
              <w:right w:val="single" w:sz="4" w:space="0" w:color="auto"/>
            </w:tcBorders>
            <w:shd w:val="clear" w:color="auto" w:fill="auto"/>
            <w:noWrap/>
            <w:vAlign w:val="bottom"/>
            <w:hideMark/>
          </w:tcPr>
          <w:p w14:paraId="5FE0B687"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0.15</w:t>
            </w:r>
          </w:p>
        </w:tc>
        <w:tc>
          <w:tcPr>
            <w:tcW w:w="694" w:type="dxa"/>
            <w:tcBorders>
              <w:top w:val="nil"/>
              <w:left w:val="nil"/>
              <w:bottom w:val="single" w:sz="4" w:space="0" w:color="auto"/>
              <w:right w:val="single" w:sz="4" w:space="0" w:color="auto"/>
            </w:tcBorders>
            <w:shd w:val="clear" w:color="auto" w:fill="auto"/>
            <w:noWrap/>
            <w:vAlign w:val="bottom"/>
            <w:hideMark/>
          </w:tcPr>
          <w:p w14:paraId="4AC755B9"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0.29%</w:t>
            </w:r>
          </w:p>
        </w:tc>
      </w:tr>
      <w:tr w:rsidR="009D0FBA" w:rsidRPr="009D0FBA" w14:paraId="450CC618"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4B50B17A"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galbor</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71B5784C"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Northern Bedstraw</w:t>
            </w:r>
          </w:p>
        </w:tc>
        <w:tc>
          <w:tcPr>
            <w:tcW w:w="2880" w:type="dxa"/>
            <w:tcBorders>
              <w:top w:val="nil"/>
              <w:left w:val="nil"/>
              <w:bottom w:val="single" w:sz="4" w:space="0" w:color="auto"/>
              <w:right w:val="single" w:sz="4" w:space="0" w:color="auto"/>
            </w:tcBorders>
            <w:shd w:val="clear" w:color="000000" w:fill="A9D08E"/>
            <w:noWrap/>
            <w:vAlign w:val="bottom"/>
            <w:hideMark/>
          </w:tcPr>
          <w:p w14:paraId="59D4F9CA"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 xml:space="preserve">Gallium </w:t>
            </w:r>
            <w:proofErr w:type="spellStart"/>
            <w:r w:rsidRPr="009D0FBA">
              <w:rPr>
                <w:rFonts w:ascii="Arial" w:eastAsia="Times New Roman" w:hAnsi="Arial" w:cs="Arial"/>
                <w:color w:val="000000"/>
                <w:sz w:val="20"/>
                <w:szCs w:val="20"/>
              </w:rPr>
              <w:t>boreale</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5A7F8FBA"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0.01</w:t>
            </w:r>
          </w:p>
        </w:tc>
        <w:tc>
          <w:tcPr>
            <w:tcW w:w="1170" w:type="dxa"/>
            <w:tcBorders>
              <w:top w:val="nil"/>
              <w:left w:val="nil"/>
              <w:bottom w:val="single" w:sz="4" w:space="0" w:color="auto"/>
              <w:right w:val="single" w:sz="4" w:space="0" w:color="auto"/>
            </w:tcBorders>
            <w:shd w:val="clear" w:color="auto" w:fill="auto"/>
            <w:noWrap/>
            <w:vAlign w:val="bottom"/>
            <w:hideMark/>
          </w:tcPr>
          <w:p w14:paraId="6AB9A823"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0.04%</w:t>
            </w:r>
          </w:p>
        </w:tc>
        <w:tc>
          <w:tcPr>
            <w:tcW w:w="1106" w:type="dxa"/>
            <w:tcBorders>
              <w:top w:val="nil"/>
              <w:left w:val="nil"/>
              <w:bottom w:val="single" w:sz="4" w:space="0" w:color="auto"/>
              <w:right w:val="single" w:sz="4" w:space="0" w:color="auto"/>
            </w:tcBorders>
            <w:shd w:val="clear" w:color="auto" w:fill="auto"/>
            <w:noWrap/>
            <w:vAlign w:val="bottom"/>
            <w:hideMark/>
          </w:tcPr>
          <w:p w14:paraId="6F74312F"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0.26</w:t>
            </w:r>
          </w:p>
        </w:tc>
        <w:tc>
          <w:tcPr>
            <w:tcW w:w="694" w:type="dxa"/>
            <w:tcBorders>
              <w:top w:val="nil"/>
              <w:left w:val="nil"/>
              <w:bottom w:val="single" w:sz="4" w:space="0" w:color="auto"/>
              <w:right w:val="single" w:sz="4" w:space="0" w:color="auto"/>
            </w:tcBorders>
            <w:shd w:val="clear" w:color="auto" w:fill="auto"/>
            <w:noWrap/>
            <w:vAlign w:val="bottom"/>
            <w:hideMark/>
          </w:tcPr>
          <w:p w14:paraId="578FDC8C"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0.49%</w:t>
            </w:r>
          </w:p>
        </w:tc>
      </w:tr>
      <w:tr w:rsidR="009D0FBA" w:rsidRPr="009D0FBA" w14:paraId="23057E51"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16185B64"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helpau</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3F76C88B"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Stiff Sunflower</w:t>
            </w:r>
          </w:p>
        </w:tc>
        <w:tc>
          <w:tcPr>
            <w:tcW w:w="2880" w:type="dxa"/>
            <w:tcBorders>
              <w:top w:val="nil"/>
              <w:left w:val="nil"/>
              <w:bottom w:val="single" w:sz="4" w:space="0" w:color="auto"/>
              <w:right w:val="single" w:sz="4" w:space="0" w:color="auto"/>
            </w:tcBorders>
            <w:shd w:val="clear" w:color="000000" w:fill="A9D08E"/>
            <w:noWrap/>
            <w:vAlign w:val="bottom"/>
            <w:hideMark/>
          </w:tcPr>
          <w:p w14:paraId="4AF865B2"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 xml:space="preserve">Helianthus </w:t>
            </w:r>
            <w:proofErr w:type="spellStart"/>
            <w:r w:rsidRPr="009D0FBA">
              <w:rPr>
                <w:rFonts w:ascii="Arial" w:eastAsia="Times New Roman" w:hAnsi="Arial" w:cs="Arial"/>
                <w:color w:val="000000"/>
                <w:sz w:val="20"/>
                <w:szCs w:val="20"/>
              </w:rPr>
              <w:t>pauciflorus</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36623867"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0.05</w:t>
            </w:r>
          </w:p>
        </w:tc>
        <w:tc>
          <w:tcPr>
            <w:tcW w:w="1170" w:type="dxa"/>
            <w:tcBorders>
              <w:top w:val="nil"/>
              <w:left w:val="nil"/>
              <w:bottom w:val="single" w:sz="4" w:space="0" w:color="auto"/>
              <w:right w:val="single" w:sz="4" w:space="0" w:color="auto"/>
            </w:tcBorders>
            <w:shd w:val="clear" w:color="auto" w:fill="auto"/>
            <w:noWrap/>
            <w:vAlign w:val="bottom"/>
            <w:hideMark/>
          </w:tcPr>
          <w:p w14:paraId="711A9FFB"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0.22%</w:t>
            </w:r>
          </w:p>
        </w:tc>
        <w:tc>
          <w:tcPr>
            <w:tcW w:w="1106" w:type="dxa"/>
            <w:tcBorders>
              <w:top w:val="nil"/>
              <w:left w:val="nil"/>
              <w:bottom w:val="single" w:sz="4" w:space="0" w:color="auto"/>
              <w:right w:val="single" w:sz="4" w:space="0" w:color="auto"/>
            </w:tcBorders>
            <w:shd w:val="clear" w:color="auto" w:fill="auto"/>
            <w:noWrap/>
            <w:vAlign w:val="bottom"/>
            <w:hideMark/>
          </w:tcPr>
          <w:p w14:paraId="257854D9"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0.07</w:t>
            </w:r>
          </w:p>
        </w:tc>
        <w:tc>
          <w:tcPr>
            <w:tcW w:w="694" w:type="dxa"/>
            <w:tcBorders>
              <w:top w:val="nil"/>
              <w:left w:val="nil"/>
              <w:bottom w:val="single" w:sz="4" w:space="0" w:color="auto"/>
              <w:right w:val="single" w:sz="4" w:space="0" w:color="auto"/>
            </w:tcBorders>
            <w:shd w:val="clear" w:color="auto" w:fill="auto"/>
            <w:noWrap/>
            <w:vAlign w:val="bottom"/>
            <w:hideMark/>
          </w:tcPr>
          <w:p w14:paraId="145BDBA1"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0.14%</w:t>
            </w:r>
          </w:p>
        </w:tc>
      </w:tr>
      <w:tr w:rsidR="009D0FBA" w:rsidRPr="009D0FBA" w14:paraId="0D46CDB7"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4CBA033"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liaasp</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32CD95E7"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Rough Blazing Star</w:t>
            </w:r>
          </w:p>
        </w:tc>
        <w:tc>
          <w:tcPr>
            <w:tcW w:w="2880" w:type="dxa"/>
            <w:tcBorders>
              <w:top w:val="nil"/>
              <w:left w:val="nil"/>
              <w:bottom w:val="single" w:sz="4" w:space="0" w:color="auto"/>
              <w:right w:val="single" w:sz="4" w:space="0" w:color="auto"/>
            </w:tcBorders>
            <w:shd w:val="clear" w:color="000000" w:fill="A9D08E"/>
            <w:noWrap/>
            <w:vAlign w:val="bottom"/>
            <w:hideMark/>
          </w:tcPr>
          <w:p w14:paraId="13FC7C70"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Liatris aspera</w:t>
            </w:r>
          </w:p>
        </w:tc>
        <w:tc>
          <w:tcPr>
            <w:tcW w:w="900" w:type="dxa"/>
            <w:tcBorders>
              <w:top w:val="nil"/>
              <w:left w:val="nil"/>
              <w:bottom w:val="single" w:sz="4" w:space="0" w:color="auto"/>
              <w:right w:val="single" w:sz="4" w:space="0" w:color="auto"/>
            </w:tcBorders>
            <w:shd w:val="clear" w:color="auto" w:fill="auto"/>
            <w:noWrap/>
            <w:vAlign w:val="bottom"/>
            <w:hideMark/>
          </w:tcPr>
          <w:p w14:paraId="583E8D08"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0.02</w:t>
            </w:r>
          </w:p>
        </w:tc>
        <w:tc>
          <w:tcPr>
            <w:tcW w:w="1170" w:type="dxa"/>
            <w:tcBorders>
              <w:top w:val="nil"/>
              <w:left w:val="nil"/>
              <w:bottom w:val="single" w:sz="4" w:space="0" w:color="auto"/>
              <w:right w:val="single" w:sz="4" w:space="0" w:color="auto"/>
            </w:tcBorders>
            <w:shd w:val="clear" w:color="auto" w:fill="auto"/>
            <w:noWrap/>
            <w:vAlign w:val="bottom"/>
            <w:hideMark/>
          </w:tcPr>
          <w:p w14:paraId="72B55C85"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0.09%</w:t>
            </w:r>
          </w:p>
        </w:tc>
        <w:tc>
          <w:tcPr>
            <w:tcW w:w="1106" w:type="dxa"/>
            <w:tcBorders>
              <w:top w:val="nil"/>
              <w:left w:val="nil"/>
              <w:bottom w:val="single" w:sz="4" w:space="0" w:color="auto"/>
              <w:right w:val="single" w:sz="4" w:space="0" w:color="auto"/>
            </w:tcBorders>
            <w:shd w:val="clear" w:color="auto" w:fill="auto"/>
            <w:noWrap/>
            <w:vAlign w:val="bottom"/>
            <w:hideMark/>
          </w:tcPr>
          <w:p w14:paraId="32AB5ABF"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0.12</w:t>
            </w:r>
          </w:p>
        </w:tc>
        <w:tc>
          <w:tcPr>
            <w:tcW w:w="694" w:type="dxa"/>
            <w:tcBorders>
              <w:top w:val="nil"/>
              <w:left w:val="nil"/>
              <w:bottom w:val="single" w:sz="4" w:space="0" w:color="auto"/>
              <w:right w:val="single" w:sz="4" w:space="0" w:color="auto"/>
            </w:tcBorders>
            <w:shd w:val="clear" w:color="auto" w:fill="auto"/>
            <w:noWrap/>
            <w:vAlign w:val="bottom"/>
            <w:hideMark/>
          </w:tcPr>
          <w:p w14:paraId="72C511BF"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0.22%</w:t>
            </w:r>
          </w:p>
        </w:tc>
      </w:tr>
      <w:tr w:rsidR="009D0FBA" w:rsidRPr="009D0FBA" w14:paraId="020D2E05"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04EACBC"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liapyc</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15459E89"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Prairie Blazing Star</w:t>
            </w:r>
          </w:p>
        </w:tc>
        <w:tc>
          <w:tcPr>
            <w:tcW w:w="2880" w:type="dxa"/>
            <w:tcBorders>
              <w:top w:val="nil"/>
              <w:left w:val="nil"/>
              <w:bottom w:val="single" w:sz="4" w:space="0" w:color="auto"/>
              <w:right w:val="single" w:sz="4" w:space="0" w:color="auto"/>
            </w:tcBorders>
            <w:shd w:val="clear" w:color="000000" w:fill="A9D08E"/>
            <w:noWrap/>
            <w:vAlign w:val="bottom"/>
            <w:hideMark/>
          </w:tcPr>
          <w:p w14:paraId="2ADFB986"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 xml:space="preserve">Liatris </w:t>
            </w:r>
            <w:proofErr w:type="spellStart"/>
            <w:r w:rsidRPr="009D0FBA">
              <w:rPr>
                <w:rFonts w:ascii="Arial" w:eastAsia="Times New Roman" w:hAnsi="Arial" w:cs="Arial"/>
                <w:color w:val="000000"/>
                <w:sz w:val="20"/>
                <w:szCs w:val="20"/>
              </w:rPr>
              <w:t>pycnostachya</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63DD15A8"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0.05</w:t>
            </w:r>
          </w:p>
        </w:tc>
        <w:tc>
          <w:tcPr>
            <w:tcW w:w="1170" w:type="dxa"/>
            <w:tcBorders>
              <w:top w:val="nil"/>
              <w:left w:val="nil"/>
              <w:bottom w:val="single" w:sz="4" w:space="0" w:color="auto"/>
              <w:right w:val="single" w:sz="4" w:space="0" w:color="auto"/>
            </w:tcBorders>
            <w:shd w:val="clear" w:color="auto" w:fill="auto"/>
            <w:noWrap/>
            <w:vAlign w:val="bottom"/>
            <w:hideMark/>
          </w:tcPr>
          <w:p w14:paraId="3394AEEA"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0.22%</w:t>
            </w:r>
          </w:p>
        </w:tc>
        <w:tc>
          <w:tcPr>
            <w:tcW w:w="1106" w:type="dxa"/>
            <w:tcBorders>
              <w:top w:val="nil"/>
              <w:left w:val="nil"/>
              <w:bottom w:val="single" w:sz="4" w:space="0" w:color="auto"/>
              <w:right w:val="single" w:sz="4" w:space="0" w:color="auto"/>
            </w:tcBorders>
            <w:shd w:val="clear" w:color="auto" w:fill="auto"/>
            <w:noWrap/>
            <w:vAlign w:val="bottom"/>
            <w:hideMark/>
          </w:tcPr>
          <w:p w14:paraId="6A071B86"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0.20</w:t>
            </w:r>
          </w:p>
        </w:tc>
        <w:tc>
          <w:tcPr>
            <w:tcW w:w="694" w:type="dxa"/>
            <w:tcBorders>
              <w:top w:val="nil"/>
              <w:left w:val="nil"/>
              <w:bottom w:val="single" w:sz="4" w:space="0" w:color="auto"/>
              <w:right w:val="single" w:sz="4" w:space="0" w:color="auto"/>
            </w:tcBorders>
            <w:shd w:val="clear" w:color="auto" w:fill="auto"/>
            <w:noWrap/>
            <w:vAlign w:val="bottom"/>
            <w:hideMark/>
          </w:tcPr>
          <w:p w14:paraId="2DB7DFB0"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0.38%</w:t>
            </w:r>
          </w:p>
        </w:tc>
      </w:tr>
      <w:tr w:rsidR="009D0FBA" w:rsidRPr="009D0FBA" w14:paraId="30FA4BAF"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4EAB2971"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monfis</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1761B3AA"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Wild Bergamot</w:t>
            </w:r>
          </w:p>
        </w:tc>
        <w:tc>
          <w:tcPr>
            <w:tcW w:w="2880" w:type="dxa"/>
            <w:tcBorders>
              <w:top w:val="nil"/>
              <w:left w:val="nil"/>
              <w:bottom w:val="single" w:sz="4" w:space="0" w:color="auto"/>
              <w:right w:val="single" w:sz="4" w:space="0" w:color="auto"/>
            </w:tcBorders>
            <w:shd w:val="clear" w:color="000000" w:fill="A9D08E"/>
            <w:noWrap/>
            <w:vAlign w:val="bottom"/>
            <w:hideMark/>
          </w:tcPr>
          <w:p w14:paraId="1A36428C"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Monarda fistulosa</w:t>
            </w:r>
          </w:p>
        </w:tc>
        <w:tc>
          <w:tcPr>
            <w:tcW w:w="900" w:type="dxa"/>
            <w:tcBorders>
              <w:top w:val="nil"/>
              <w:left w:val="nil"/>
              <w:bottom w:val="single" w:sz="4" w:space="0" w:color="auto"/>
              <w:right w:val="single" w:sz="4" w:space="0" w:color="auto"/>
            </w:tcBorders>
            <w:shd w:val="clear" w:color="auto" w:fill="auto"/>
            <w:noWrap/>
            <w:vAlign w:val="bottom"/>
            <w:hideMark/>
          </w:tcPr>
          <w:p w14:paraId="2EA3BAC5"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0.02</w:t>
            </w:r>
          </w:p>
        </w:tc>
        <w:tc>
          <w:tcPr>
            <w:tcW w:w="1170" w:type="dxa"/>
            <w:tcBorders>
              <w:top w:val="nil"/>
              <w:left w:val="nil"/>
              <w:bottom w:val="single" w:sz="4" w:space="0" w:color="auto"/>
              <w:right w:val="single" w:sz="4" w:space="0" w:color="auto"/>
            </w:tcBorders>
            <w:shd w:val="clear" w:color="auto" w:fill="auto"/>
            <w:noWrap/>
            <w:vAlign w:val="bottom"/>
            <w:hideMark/>
          </w:tcPr>
          <w:p w14:paraId="5A40DD19"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0.09%</w:t>
            </w:r>
          </w:p>
        </w:tc>
        <w:tc>
          <w:tcPr>
            <w:tcW w:w="1106" w:type="dxa"/>
            <w:tcBorders>
              <w:top w:val="nil"/>
              <w:left w:val="nil"/>
              <w:bottom w:val="single" w:sz="4" w:space="0" w:color="auto"/>
              <w:right w:val="single" w:sz="4" w:space="0" w:color="auto"/>
            </w:tcBorders>
            <w:shd w:val="clear" w:color="auto" w:fill="auto"/>
            <w:noWrap/>
            <w:vAlign w:val="bottom"/>
            <w:hideMark/>
          </w:tcPr>
          <w:p w14:paraId="056EF781"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0.51</w:t>
            </w:r>
          </w:p>
        </w:tc>
        <w:tc>
          <w:tcPr>
            <w:tcW w:w="694" w:type="dxa"/>
            <w:tcBorders>
              <w:top w:val="nil"/>
              <w:left w:val="nil"/>
              <w:bottom w:val="single" w:sz="4" w:space="0" w:color="auto"/>
              <w:right w:val="single" w:sz="4" w:space="0" w:color="auto"/>
            </w:tcBorders>
            <w:shd w:val="clear" w:color="auto" w:fill="auto"/>
            <w:noWrap/>
            <w:vAlign w:val="bottom"/>
            <w:hideMark/>
          </w:tcPr>
          <w:p w14:paraId="0D19C72A"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0.97%</w:t>
            </w:r>
          </w:p>
        </w:tc>
      </w:tr>
      <w:tr w:rsidR="009D0FBA" w:rsidRPr="009D0FBA" w14:paraId="56B6C924"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0D363F9C"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pengra</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7532FEA3"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Large-flowered Beardtongue</w:t>
            </w:r>
          </w:p>
        </w:tc>
        <w:tc>
          <w:tcPr>
            <w:tcW w:w="2880" w:type="dxa"/>
            <w:tcBorders>
              <w:top w:val="nil"/>
              <w:left w:val="nil"/>
              <w:bottom w:val="single" w:sz="4" w:space="0" w:color="auto"/>
              <w:right w:val="single" w:sz="4" w:space="0" w:color="auto"/>
            </w:tcBorders>
            <w:shd w:val="clear" w:color="000000" w:fill="A9D08E"/>
            <w:noWrap/>
            <w:vAlign w:val="bottom"/>
            <w:hideMark/>
          </w:tcPr>
          <w:p w14:paraId="405FB18B"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 xml:space="preserve">Penstemon </w:t>
            </w:r>
            <w:proofErr w:type="spellStart"/>
            <w:r w:rsidRPr="009D0FBA">
              <w:rPr>
                <w:rFonts w:ascii="Arial" w:eastAsia="Times New Roman" w:hAnsi="Arial" w:cs="Arial"/>
                <w:color w:val="000000"/>
                <w:sz w:val="20"/>
                <w:szCs w:val="20"/>
              </w:rPr>
              <w:t>grandiflorus</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322B04ED"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0.06</w:t>
            </w:r>
          </w:p>
        </w:tc>
        <w:tc>
          <w:tcPr>
            <w:tcW w:w="1170" w:type="dxa"/>
            <w:tcBorders>
              <w:top w:val="nil"/>
              <w:left w:val="nil"/>
              <w:bottom w:val="single" w:sz="4" w:space="0" w:color="auto"/>
              <w:right w:val="single" w:sz="4" w:space="0" w:color="auto"/>
            </w:tcBorders>
            <w:shd w:val="clear" w:color="auto" w:fill="auto"/>
            <w:noWrap/>
            <w:vAlign w:val="bottom"/>
            <w:hideMark/>
          </w:tcPr>
          <w:p w14:paraId="3768D35C"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0.26%</w:t>
            </w:r>
          </w:p>
        </w:tc>
        <w:tc>
          <w:tcPr>
            <w:tcW w:w="1106" w:type="dxa"/>
            <w:tcBorders>
              <w:top w:val="nil"/>
              <w:left w:val="nil"/>
              <w:bottom w:val="single" w:sz="4" w:space="0" w:color="auto"/>
              <w:right w:val="single" w:sz="4" w:space="0" w:color="auto"/>
            </w:tcBorders>
            <w:shd w:val="clear" w:color="auto" w:fill="auto"/>
            <w:noWrap/>
            <w:vAlign w:val="bottom"/>
            <w:hideMark/>
          </w:tcPr>
          <w:p w14:paraId="4B815367"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0.31</w:t>
            </w:r>
          </w:p>
        </w:tc>
        <w:tc>
          <w:tcPr>
            <w:tcW w:w="694" w:type="dxa"/>
            <w:tcBorders>
              <w:top w:val="nil"/>
              <w:left w:val="nil"/>
              <w:bottom w:val="single" w:sz="4" w:space="0" w:color="auto"/>
              <w:right w:val="single" w:sz="4" w:space="0" w:color="auto"/>
            </w:tcBorders>
            <w:shd w:val="clear" w:color="auto" w:fill="auto"/>
            <w:noWrap/>
            <w:vAlign w:val="bottom"/>
            <w:hideMark/>
          </w:tcPr>
          <w:p w14:paraId="3B696E3C"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0.58%</w:t>
            </w:r>
          </w:p>
        </w:tc>
      </w:tr>
      <w:tr w:rsidR="009D0FBA" w:rsidRPr="009D0FBA" w14:paraId="3968C411"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3D4F3FA6"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pycvir</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2449876B"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Virginia Mountain Mint</w:t>
            </w:r>
          </w:p>
        </w:tc>
        <w:tc>
          <w:tcPr>
            <w:tcW w:w="2880" w:type="dxa"/>
            <w:tcBorders>
              <w:top w:val="nil"/>
              <w:left w:val="nil"/>
              <w:bottom w:val="single" w:sz="4" w:space="0" w:color="auto"/>
              <w:right w:val="single" w:sz="4" w:space="0" w:color="auto"/>
            </w:tcBorders>
            <w:shd w:val="clear" w:color="000000" w:fill="A9D08E"/>
            <w:noWrap/>
            <w:vAlign w:val="bottom"/>
            <w:hideMark/>
          </w:tcPr>
          <w:p w14:paraId="33DCCB9E"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Pycnanthemum</w:t>
            </w:r>
            <w:proofErr w:type="spellEnd"/>
            <w:r w:rsidRPr="009D0FBA">
              <w:rPr>
                <w:rFonts w:ascii="Arial" w:eastAsia="Times New Roman" w:hAnsi="Arial" w:cs="Arial"/>
                <w:color w:val="000000"/>
                <w:sz w:val="20"/>
                <w:szCs w:val="20"/>
              </w:rPr>
              <w:t xml:space="preserve"> virginianum</w:t>
            </w:r>
          </w:p>
        </w:tc>
        <w:tc>
          <w:tcPr>
            <w:tcW w:w="900" w:type="dxa"/>
            <w:tcBorders>
              <w:top w:val="nil"/>
              <w:left w:val="nil"/>
              <w:bottom w:val="single" w:sz="4" w:space="0" w:color="auto"/>
              <w:right w:val="single" w:sz="4" w:space="0" w:color="auto"/>
            </w:tcBorders>
            <w:shd w:val="clear" w:color="auto" w:fill="auto"/>
            <w:noWrap/>
            <w:vAlign w:val="bottom"/>
            <w:hideMark/>
          </w:tcPr>
          <w:p w14:paraId="387C4BA2"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0.01</w:t>
            </w:r>
          </w:p>
        </w:tc>
        <w:tc>
          <w:tcPr>
            <w:tcW w:w="1170" w:type="dxa"/>
            <w:tcBorders>
              <w:top w:val="nil"/>
              <w:left w:val="nil"/>
              <w:bottom w:val="single" w:sz="4" w:space="0" w:color="auto"/>
              <w:right w:val="single" w:sz="4" w:space="0" w:color="auto"/>
            </w:tcBorders>
            <w:shd w:val="clear" w:color="auto" w:fill="auto"/>
            <w:noWrap/>
            <w:vAlign w:val="bottom"/>
            <w:hideMark/>
          </w:tcPr>
          <w:p w14:paraId="136E5A86"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0.04%</w:t>
            </w:r>
          </w:p>
        </w:tc>
        <w:tc>
          <w:tcPr>
            <w:tcW w:w="1106" w:type="dxa"/>
            <w:tcBorders>
              <w:top w:val="nil"/>
              <w:left w:val="nil"/>
              <w:bottom w:val="single" w:sz="4" w:space="0" w:color="auto"/>
              <w:right w:val="single" w:sz="4" w:space="0" w:color="auto"/>
            </w:tcBorders>
            <w:shd w:val="clear" w:color="auto" w:fill="auto"/>
            <w:noWrap/>
            <w:vAlign w:val="bottom"/>
            <w:hideMark/>
          </w:tcPr>
          <w:p w14:paraId="0B9383E6"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0.81</w:t>
            </w:r>
          </w:p>
        </w:tc>
        <w:tc>
          <w:tcPr>
            <w:tcW w:w="694" w:type="dxa"/>
            <w:tcBorders>
              <w:top w:val="nil"/>
              <w:left w:val="nil"/>
              <w:bottom w:val="single" w:sz="4" w:space="0" w:color="auto"/>
              <w:right w:val="single" w:sz="4" w:space="0" w:color="auto"/>
            </w:tcBorders>
            <w:shd w:val="clear" w:color="auto" w:fill="auto"/>
            <w:noWrap/>
            <w:vAlign w:val="bottom"/>
            <w:hideMark/>
          </w:tcPr>
          <w:p w14:paraId="3537D164"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1.53%</w:t>
            </w:r>
          </w:p>
        </w:tc>
      </w:tr>
      <w:tr w:rsidR="009D0FBA" w:rsidRPr="009D0FBA" w14:paraId="02132017"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033698BF"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ratcol</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608E7F52"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Long-headed Coneflower</w:t>
            </w:r>
          </w:p>
        </w:tc>
        <w:tc>
          <w:tcPr>
            <w:tcW w:w="2880" w:type="dxa"/>
            <w:tcBorders>
              <w:top w:val="nil"/>
              <w:left w:val="nil"/>
              <w:bottom w:val="single" w:sz="4" w:space="0" w:color="auto"/>
              <w:right w:val="single" w:sz="4" w:space="0" w:color="auto"/>
            </w:tcBorders>
            <w:shd w:val="clear" w:color="000000" w:fill="A9D08E"/>
            <w:noWrap/>
            <w:vAlign w:val="bottom"/>
            <w:hideMark/>
          </w:tcPr>
          <w:p w14:paraId="55B765E0"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 xml:space="preserve">Ratibida </w:t>
            </w:r>
            <w:proofErr w:type="spellStart"/>
            <w:r w:rsidRPr="009D0FBA">
              <w:rPr>
                <w:rFonts w:ascii="Arial" w:eastAsia="Times New Roman" w:hAnsi="Arial" w:cs="Arial"/>
                <w:color w:val="000000"/>
                <w:sz w:val="20"/>
                <w:szCs w:val="20"/>
              </w:rPr>
              <w:t>columnifera</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77CC213B"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0.03</w:t>
            </w:r>
          </w:p>
        </w:tc>
        <w:tc>
          <w:tcPr>
            <w:tcW w:w="1170" w:type="dxa"/>
            <w:tcBorders>
              <w:top w:val="nil"/>
              <w:left w:val="nil"/>
              <w:bottom w:val="single" w:sz="4" w:space="0" w:color="auto"/>
              <w:right w:val="single" w:sz="4" w:space="0" w:color="auto"/>
            </w:tcBorders>
            <w:shd w:val="clear" w:color="auto" w:fill="auto"/>
            <w:noWrap/>
            <w:vAlign w:val="bottom"/>
            <w:hideMark/>
          </w:tcPr>
          <w:p w14:paraId="6D23D2FC"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0.13%</w:t>
            </w:r>
          </w:p>
        </w:tc>
        <w:tc>
          <w:tcPr>
            <w:tcW w:w="1106" w:type="dxa"/>
            <w:tcBorders>
              <w:top w:val="nil"/>
              <w:left w:val="nil"/>
              <w:bottom w:val="single" w:sz="4" w:space="0" w:color="auto"/>
              <w:right w:val="single" w:sz="4" w:space="0" w:color="auto"/>
            </w:tcBorders>
            <w:shd w:val="clear" w:color="auto" w:fill="auto"/>
            <w:noWrap/>
            <w:vAlign w:val="bottom"/>
            <w:hideMark/>
          </w:tcPr>
          <w:p w14:paraId="126205CF"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0.46</w:t>
            </w:r>
          </w:p>
        </w:tc>
        <w:tc>
          <w:tcPr>
            <w:tcW w:w="694" w:type="dxa"/>
            <w:tcBorders>
              <w:top w:val="nil"/>
              <w:left w:val="nil"/>
              <w:bottom w:val="single" w:sz="4" w:space="0" w:color="auto"/>
              <w:right w:val="single" w:sz="4" w:space="0" w:color="auto"/>
            </w:tcBorders>
            <w:shd w:val="clear" w:color="auto" w:fill="auto"/>
            <w:noWrap/>
            <w:vAlign w:val="bottom"/>
            <w:hideMark/>
          </w:tcPr>
          <w:p w14:paraId="55859E34"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0.87%</w:t>
            </w:r>
          </w:p>
        </w:tc>
      </w:tr>
      <w:tr w:rsidR="009D0FBA" w:rsidRPr="009D0FBA" w14:paraId="1F235CB1"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32C2B4C0"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rudhir</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729CEB89"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Black-eyed Susan</w:t>
            </w:r>
          </w:p>
        </w:tc>
        <w:tc>
          <w:tcPr>
            <w:tcW w:w="2880" w:type="dxa"/>
            <w:tcBorders>
              <w:top w:val="nil"/>
              <w:left w:val="nil"/>
              <w:bottom w:val="single" w:sz="4" w:space="0" w:color="auto"/>
              <w:right w:val="single" w:sz="4" w:space="0" w:color="auto"/>
            </w:tcBorders>
            <w:shd w:val="clear" w:color="000000" w:fill="A9D08E"/>
            <w:noWrap/>
            <w:vAlign w:val="bottom"/>
            <w:hideMark/>
          </w:tcPr>
          <w:p w14:paraId="0904EA0C"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 xml:space="preserve">Rudbeckia </w:t>
            </w:r>
            <w:proofErr w:type="spellStart"/>
            <w:r w:rsidRPr="009D0FBA">
              <w:rPr>
                <w:rFonts w:ascii="Arial" w:eastAsia="Times New Roman" w:hAnsi="Arial" w:cs="Arial"/>
                <w:color w:val="000000"/>
                <w:sz w:val="20"/>
                <w:szCs w:val="20"/>
              </w:rPr>
              <w:t>hirta</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1C938AD4"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0.05</w:t>
            </w:r>
          </w:p>
        </w:tc>
        <w:tc>
          <w:tcPr>
            <w:tcW w:w="1170" w:type="dxa"/>
            <w:tcBorders>
              <w:top w:val="nil"/>
              <w:left w:val="nil"/>
              <w:bottom w:val="single" w:sz="4" w:space="0" w:color="auto"/>
              <w:right w:val="single" w:sz="4" w:space="0" w:color="auto"/>
            </w:tcBorders>
            <w:shd w:val="clear" w:color="auto" w:fill="auto"/>
            <w:noWrap/>
            <w:vAlign w:val="bottom"/>
            <w:hideMark/>
          </w:tcPr>
          <w:p w14:paraId="6341B0E5"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0.22%</w:t>
            </w:r>
          </w:p>
        </w:tc>
        <w:tc>
          <w:tcPr>
            <w:tcW w:w="1106" w:type="dxa"/>
            <w:tcBorders>
              <w:top w:val="nil"/>
              <w:left w:val="nil"/>
              <w:bottom w:val="single" w:sz="4" w:space="0" w:color="auto"/>
              <w:right w:val="single" w:sz="4" w:space="0" w:color="auto"/>
            </w:tcBorders>
            <w:shd w:val="clear" w:color="auto" w:fill="auto"/>
            <w:noWrap/>
            <w:vAlign w:val="bottom"/>
            <w:hideMark/>
          </w:tcPr>
          <w:p w14:paraId="6A2C1EC6"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1.69</w:t>
            </w:r>
          </w:p>
        </w:tc>
        <w:tc>
          <w:tcPr>
            <w:tcW w:w="694" w:type="dxa"/>
            <w:tcBorders>
              <w:top w:val="nil"/>
              <w:left w:val="nil"/>
              <w:bottom w:val="single" w:sz="4" w:space="0" w:color="auto"/>
              <w:right w:val="single" w:sz="4" w:space="0" w:color="auto"/>
            </w:tcBorders>
            <w:shd w:val="clear" w:color="auto" w:fill="auto"/>
            <w:noWrap/>
            <w:vAlign w:val="bottom"/>
            <w:hideMark/>
          </w:tcPr>
          <w:p w14:paraId="39A58D1D"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3.19%</w:t>
            </w:r>
          </w:p>
        </w:tc>
      </w:tr>
      <w:tr w:rsidR="009D0FBA" w:rsidRPr="009D0FBA" w14:paraId="332A5B6D"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AA7ACE5"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siscam</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7DA0A8AD"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 xml:space="preserve">Prairie Blue-eyed Grass </w:t>
            </w:r>
          </w:p>
        </w:tc>
        <w:tc>
          <w:tcPr>
            <w:tcW w:w="2880" w:type="dxa"/>
            <w:tcBorders>
              <w:top w:val="nil"/>
              <w:left w:val="nil"/>
              <w:bottom w:val="single" w:sz="4" w:space="0" w:color="auto"/>
              <w:right w:val="single" w:sz="4" w:space="0" w:color="auto"/>
            </w:tcBorders>
            <w:shd w:val="clear" w:color="000000" w:fill="A9D08E"/>
            <w:noWrap/>
            <w:vAlign w:val="bottom"/>
            <w:hideMark/>
          </w:tcPr>
          <w:p w14:paraId="1773ECBC"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 xml:space="preserve">Sisyrinchium </w:t>
            </w:r>
            <w:proofErr w:type="spellStart"/>
            <w:r w:rsidRPr="009D0FBA">
              <w:rPr>
                <w:rFonts w:ascii="Arial" w:eastAsia="Times New Roman" w:hAnsi="Arial" w:cs="Arial"/>
                <w:color w:val="000000"/>
                <w:sz w:val="20"/>
                <w:szCs w:val="20"/>
              </w:rPr>
              <w:t>campestre</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554DB3C0"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0.01</w:t>
            </w:r>
          </w:p>
        </w:tc>
        <w:tc>
          <w:tcPr>
            <w:tcW w:w="1170" w:type="dxa"/>
            <w:tcBorders>
              <w:top w:val="nil"/>
              <w:left w:val="nil"/>
              <w:bottom w:val="single" w:sz="4" w:space="0" w:color="auto"/>
              <w:right w:val="single" w:sz="4" w:space="0" w:color="auto"/>
            </w:tcBorders>
            <w:shd w:val="clear" w:color="auto" w:fill="auto"/>
            <w:noWrap/>
            <w:vAlign w:val="bottom"/>
            <w:hideMark/>
          </w:tcPr>
          <w:p w14:paraId="20F5A338"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0.04%</w:t>
            </w:r>
          </w:p>
        </w:tc>
        <w:tc>
          <w:tcPr>
            <w:tcW w:w="1106" w:type="dxa"/>
            <w:tcBorders>
              <w:top w:val="nil"/>
              <w:left w:val="nil"/>
              <w:bottom w:val="single" w:sz="4" w:space="0" w:color="auto"/>
              <w:right w:val="single" w:sz="4" w:space="0" w:color="auto"/>
            </w:tcBorders>
            <w:shd w:val="clear" w:color="auto" w:fill="auto"/>
            <w:noWrap/>
            <w:vAlign w:val="bottom"/>
            <w:hideMark/>
          </w:tcPr>
          <w:p w14:paraId="0A83665A"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0.17</w:t>
            </w:r>
          </w:p>
        </w:tc>
        <w:tc>
          <w:tcPr>
            <w:tcW w:w="694" w:type="dxa"/>
            <w:tcBorders>
              <w:top w:val="nil"/>
              <w:left w:val="nil"/>
              <w:bottom w:val="single" w:sz="4" w:space="0" w:color="auto"/>
              <w:right w:val="single" w:sz="4" w:space="0" w:color="auto"/>
            </w:tcBorders>
            <w:shd w:val="clear" w:color="auto" w:fill="auto"/>
            <w:noWrap/>
            <w:vAlign w:val="bottom"/>
            <w:hideMark/>
          </w:tcPr>
          <w:p w14:paraId="6DFA375A"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0.31%</w:t>
            </w:r>
          </w:p>
        </w:tc>
      </w:tr>
      <w:tr w:rsidR="009D0FBA" w:rsidRPr="009D0FBA" w14:paraId="2BD753A3"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B023571"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solrig</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1EC92FE1"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Stiff Goldenrod</w:t>
            </w:r>
          </w:p>
        </w:tc>
        <w:tc>
          <w:tcPr>
            <w:tcW w:w="2880" w:type="dxa"/>
            <w:tcBorders>
              <w:top w:val="nil"/>
              <w:left w:val="nil"/>
              <w:bottom w:val="single" w:sz="4" w:space="0" w:color="auto"/>
              <w:right w:val="single" w:sz="4" w:space="0" w:color="auto"/>
            </w:tcBorders>
            <w:shd w:val="clear" w:color="000000" w:fill="A9D08E"/>
            <w:noWrap/>
            <w:vAlign w:val="bottom"/>
            <w:hideMark/>
          </w:tcPr>
          <w:p w14:paraId="273EA015"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Solidago rigida</w:t>
            </w:r>
          </w:p>
        </w:tc>
        <w:tc>
          <w:tcPr>
            <w:tcW w:w="900" w:type="dxa"/>
            <w:tcBorders>
              <w:top w:val="nil"/>
              <w:left w:val="nil"/>
              <w:bottom w:val="single" w:sz="4" w:space="0" w:color="auto"/>
              <w:right w:val="single" w:sz="4" w:space="0" w:color="auto"/>
            </w:tcBorders>
            <w:shd w:val="clear" w:color="auto" w:fill="auto"/>
            <w:noWrap/>
            <w:vAlign w:val="bottom"/>
            <w:hideMark/>
          </w:tcPr>
          <w:p w14:paraId="28901B33"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0.03</w:t>
            </w:r>
          </w:p>
        </w:tc>
        <w:tc>
          <w:tcPr>
            <w:tcW w:w="1170" w:type="dxa"/>
            <w:tcBorders>
              <w:top w:val="nil"/>
              <w:left w:val="nil"/>
              <w:bottom w:val="single" w:sz="4" w:space="0" w:color="auto"/>
              <w:right w:val="single" w:sz="4" w:space="0" w:color="auto"/>
            </w:tcBorders>
            <w:shd w:val="clear" w:color="auto" w:fill="auto"/>
            <w:noWrap/>
            <w:vAlign w:val="bottom"/>
            <w:hideMark/>
          </w:tcPr>
          <w:p w14:paraId="3B7037A3"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0.13%</w:t>
            </w:r>
          </w:p>
        </w:tc>
        <w:tc>
          <w:tcPr>
            <w:tcW w:w="1106" w:type="dxa"/>
            <w:tcBorders>
              <w:top w:val="nil"/>
              <w:left w:val="nil"/>
              <w:bottom w:val="single" w:sz="4" w:space="0" w:color="auto"/>
              <w:right w:val="single" w:sz="4" w:space="0" w:color="auto"/>
            </w:tcBorders>
            <w:shd w:val="clear" w:color="auto" w:fill="auto"/>
            <w:noWrap/>
            <w:vAlign w:val="bottom"/>
            <w:hideMark/>
          </w:tcPr>
          <w:p w14:paraId="5B134653"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0.45</w:t>
            </w:r>
          </w:p>
        </w:tc>
        <w:tc>
          <w:tcPr>
            <w:tcW w:w="694" w:type="dxa"/>
            <w:tcBorders>
              <w:top w:val="nil"/>
              <w:left w:val="nil"/>
              <w:bottom w:val="single" w:sz="4" w:space="0" w:color="auto"/>
              <w:right w:val="single" w:sz="4" w:space="0" w:color="auto"/>
            </w:tcBorders>
            <w:shd w:val="clear" w:color="auto" w:fill="auto"/>
            <w:noWrap/>
            <w:vAlign w:val="bottom"/>
            <w:hideMark/>
          </w:tcPr>
          <w:p w14:paraId="0D7DBD64"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0.85%</w:t>
            </w:r>
          </w:p>
        </w:tc>
      </w:tr>
      <w:tr w:rsidR="009D0FBA" w:rsidRPr="009D0FBA" w14:paraId="73FB7DED"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EB0516E"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solspe</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4D30D229"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Showy Goldenrod</w:t>
            </w:r>
          </w:p>
        </w:tc>
        <w:tc>
          <w:tcPr>
            <w:tcW w:w="2880" w:type="dxa"/>
            <w:tcBorders>
              <w:top w:val="nil"/>
              <w:left w:val="nil"/>
              <w:bottom w:val="single" w:sz="4" w:space="0" w:color="auto"/>
              <w:right w:val="single" w:sz="4" w:space="0" w:color="auto"/>
            </w:tcBorders>
            <w:shd w:val="clear" w:color="000000" w:fill="A9D08E"/>
            <w:noWrap/>
            <w:vAlign w:val="bottom"/>
            <w:hideMark/>
          </w:tcPr>
          <w:p w14:paraId="64FB49A1"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Solidago speciosa</w:t>
            </w:r>
          </w:p>
        </w:tc>
        <w:tc>
          <w:tcPr>
            <w:tcW w:w="900" w:type="dxa"/>
            <w:tcBorders>
              <w:top w:val="nil"/>
              <w:left w:val="nil"/>
              <w:bottom w:val="single" w:sz="4" w:space="0" w:color="auto"/>
              <w:right w:val="single" w:sz="4" w:space="0" w:color="auto"/>
            </w:tcBorders>
            <w:shd w:val="clear" w:color="auto" w:fill="auto"/>
            <w:noWrap/>
            <w:vAlign w:val="bottom"/>
            <w:hideMark/>
          </w:tcPr>
          <w:p w14:paraId="1744A46B"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0.02</w:t>
            </w:r>
          </w:p>
        </w:tc>
        <w:tc>
          <w:tcPr>
            <w:tcW w:w="1170" w:type="dxa"/>
            <w:tcBorders>
              <w:top w:val="nil"/>
              <w:left w:val="nil"/>
              <w:bottom w:val="single" w:sz="4" w:space="0" w:color="auto"/>
              <w:right w:val="single" w:sz="4" w:space="0" w:color="auto"/>
            </w:tcBorders>
            <w:shd w:val="clear" w:color="auto" w:fill="auto"/>
            <w:noWrap/>
            <w:vAlign w:val="bottom"/>
            <w:hideMark/>
          </w:tcPr>
          <w:p w14:paraId="3F646B2C"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0.09%</w:t>
            </w:r>
          </w:p>
        </w:tc>
        <w:tc>
          <w:tcPr>
            <w:tcW w:w="1106" w:type="dxa"/>
            <w:tcBorders>
              <w:top w:val="nil"/>
              <w:left w:val="nil"/>
              <w:bottom w:val="single" w:sz="4" w:space="0" w:color="auto"/>
              <w:right w:val="single" w:sz="4" w:space="0" w:color="auto"/>
            </w:tcBorders>
            <w:shd w:val="clear" w:color="auto" w:fill="auto"/>
            <w:noWrap/>
            <w:vAlign w:val="bottom"/>
            <w:hideMark/>
          </w:tcPr>
          <w:p w14:paraId="0A7049B5"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0.59</w:t>
            </w:r>
          </w:p>
        </w:tc>
        <w:tc>
          <w:tcPr>
            <w:tcW w:w="694" w:type="dxa"/>
            <w:tcBorders>
              <w:top w:val="nil"/>
              <w:left w:val="nil"/>
              <w:bottom w:val="single" w:sz="4" w:space="0" w:color="auto"/>
              <w:right w:val="single" w:sz="4" w:space="0" w:color="auto"/>
            </w:tcBorders>
            <w:shd w:val="clear" w:color="auto" w:fill="auto"/>
            <w:noWrap/>
            <w:vAlign w:val="bottom"/>
            <w:hideMark/>
          </w:tcPr>
          <w:p w14:paraId="10C86C9D"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1.11%</w:t>
            </w:r>
          </w:p>
        </w:tc>
      </w:tr>
      <w:tr w:rsidR="009D0FBA" w:rsidRPr="009D0FBA" w14:paraId="02BB72F4"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121AE476"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symeri</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2CBB43FB"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Heath Aster</w:t>
            </w:r>
          </w:p>
        </w:tc>
        <w:tc>
          <w:tcPr>
            <w:tcW w:w="2880" w:type="dxa"/>
            <w:tcBorders>
              <w:top w:val="nil"/>
              <w:left w:val="nil"/>
              <w:bottom w:val="single" w:sz="4" w:space="0" w:color="auto"/>
              <w:right w:val="single" w:sz="4" w:space="0" w:color="auto"/>
            </w:tcBorders>
            <w:shd w:val="clear" w:color="000000" w:fill="A9D08E"/>
            <w:noWrap/>
            <w:vAlign w:val="bottom"/>
            <w:hideMark/>
          </w:tcPr>
          <w:p w14:paraId="272BC81B"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Symphyotrichum</w:t>
            </w:r>
            <w:proofErr w:type="spellEnd"/>
            <w:r w:rsidRPr="009D0FBA">
              <w:rPr>
                <w:rFonts w:ascii="Arial" w:eastAsia="Times New Roman" w:hAnsi="Arial" w:cs="Arial"/>
                <w:color w:val="000000"/>
                <w:sz w:val="20"/>
                <w:szCs w:val="20"/>
              </w:rPr>
              <w:t xml:space="preserve"> </w:t>
            </w:r>
            <w:proofErr w:type="spellStart"/>
            <w:r w:rsidRPr="009D0FBA">
              <w:rPr>
                <w:rFonts w:ascii="Arial" w:eastAsia="Times New Roman" w:hAnsi="Arial" w:cs="Arial"/>
                <w:color w:val="000000"/>
                <w:sz w:val="20"/>
                <w:szCs w:val="20"/>
              </w:rPr>
              <w:t>ericoides</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55A87811"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0.01</w:t>
            </w:r>
          </w:p>
        </w:tc>
        <w:tc>
          <w:tcPr>
            <w:tcW w:w="1170" w:type="dxa"/>
            <w:tcBorders>
              <w:top w:val="nil"/>
              <w:left w:val="nil"/>
              <w:bottom w:val="single" w:sz="4" w:space="0" w:color="auto"/>
              <w:right w:val="single" w:sz="4" w:space="0" w:color="auto"/>
            </w:tcBorders>
            <w:shd w:val="clear" w:color="auto" w:fill="auto"/>
            <w:noWrap/>
            <w:vAlign w:val="bottom"/>
            <w:hideMark/>
          </w:tcPr>
          <w:p w14:paraId="3B131039"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0.04%</w:t>
            </w:r>
          </w:p>
        </w:tc>
        <w:tc>
          <w:tcPr>
            <w:tcW w:w="1106" w:type="dxa"/>
            <w:tcBorders>
              <w:top w:val="nil"/>
              <w:left w:val="nil"/>
              <w:bottom w:val="single" w:sz="4" w:space="0" w:color="auto"/>
              <w:right w:val="single" w:sz="4" w:space="0" w:color="auto"/>
            </w:tcBorders>
            <w:shd w:val="clear" w:color="auto" w:fill="auto"/>
            <w:noWrap/>
            <w:vAlign w:val="bottom"/>
            <w:hideMark/>
          </w:tcPr>
          <w:p w14:paraId="656231B2"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0.73</w:t>
            </w:r>
          </w:p>
        </w:tc>
        <w:tc>
          <w:tcPr>
            <w:tcW w:w="694" w:type="dxa"/>
            <w:tcBorders>
              <w:top w:val="nil"/>
              <w:left w:val="nil"/>
              <w:bottom w:val="single" w:sz="4" w:space="0" w:color="auto"/>
              <w:right w:val="single" w:sz="4" w:space="0" w:color="auto"/>
            </w:tcBorders>
            <w:shd w:val="clear" w:color="auto" w:fill="auto"/>
            <w:noWrap/>
            <w:vAlign w:val="bottom"/>
            <w:hideMark/>
          </w:tcPr>
          <w:p w14:paraId="03197573"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1.39%</w:t>
            </w:r>
          </w:p>
        </w:tc>
      </w:tr>
      <w:tr w:rsidR="009D0FBA" w:rsidRPr="009D0FBA" w14:paraId="24B702B4"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C35BAA1"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symlae</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6445A7F8"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Smooth Blue Aster</w:t>
            </w:r>
          </w:p>
        </w:tc>
        <w:tc>
          <w:tcPr>
            <w:tcW w:w="2880" w:type="dxa"/>
            <w:tcBorders>
              <w:top w:val="nil"/>
              <w:left w:val="nil"/>
              <w:bottom w:val="single" w:sz="4" w:space="0" w:color="auto"/>
              <w:right w:val="single" w:sz="4" w:space="0" w:color="auto"/>
            </w:tcBorders>
            <w:shd w:val="clear" w:color="000000" w:fill="A9D08E"/>
            <w:noWrap/>
            <w:vAlign w:val="bottom"/>
            <w:hideMark/>
          </w:tcPr>
          <w:p w14:paraId="5F49C69C"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Symphyotrichum</w:t>
            </w:r>
            <w:proofErr w:type="spellEnd"/>
            <w:r w:rsidRPr="009D0FBA">
              <w:rPr>
                <w:rFonts w:ascii="Arial" w:eastAsia="Times New Roman" w:hAnsi="Arial" w:cs="Arial"/>
                <w:color w:val="000000"/>
                <w:sz w:val="20"/>
                <w:szCs w:val="20"/>
              </w:rPr>
              <w:t xml:space="preserve"> </w:t>
            </w:r>
            <w:proofErr w:type="spellStart"/>
            <w:r w:rsidRPr="009D0FBA">
              <w:rPr>
                <w:rFonts w:ascii="Arial" w:eastAsia="Times New Roman" w:hAnsi="Arial" w:cs="Arial"/>
                <w:color w:val="000000"/>
                <w:sz w:val="20"/>
                <w:szCs w:val="20"/>
              </w:rPr>
              <w:t>laeve</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2C552FA1"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0.03</w:t>
            </w:r>
          </w:p>
        </w:tc>
        <w:tc>
          <w:tcPr>
            <w:tcW w:w="1170" w:type="dxa"/>
            <w:tcBorders>
              <w:top w:val="nil"/>
              <w:left w:val="nil"/>
              <w:bottom w:val="single" w:sz="4" w:space="0" w:color="auto"/>
              <w:right w:val="single" w:sz="4" w:space="0" w:color="auto"/>
            </w:tcBorders>
            <w:shd w:val="clear" w:color="auto" w:fill="auto"/>
            <w:noWrap/>
            <w:vAlign w:val="bottom"/>
            <w:hideMark/>
          </w:tcPr>
          <w:p w14:paraId="5B110EF9"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0.13%</w:t>
            </w:r>
          </w:p>
        </w:tc>
        <w:tc>
          <w:tcPr>
            <w:tcW w:w="1106" w:type="dxa"/>
            <w:tcBorders>
              <w:top w:val="nil"/>
              <w:left w:val="nil"/>
              <w:bottom w:val="single" w:sz="4" w:space="0" w:color="auto"/>
              <w:right w:val="single" w:sz="4" w:space="0" w:color="auto"/>
            </w:tcBorders>
            <w:shd w:val="clear" w:color="auto" w:fill="auto"/>
            <w:noWrap/>
            <w:vAlign w:val="bottom"/>
            <w:hideMark/>
          </w:tcPr>
          <w:p w14:paraId="38785E58"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0.61</w:t>
            </w:r>
          </w:p>
        </w:tc>
        <w:tc>
          <w:tcPr>
            <w:tcW w:w="694" w:type="dxa"/>
            <w:tcBorders>
              <w:top w:val="nil"/>
              <w:left w:val="nil"/>
              <w:bottom w:val="single" w:sz="4" w:space="0" w:color="auto"/>
              <w:right w:val="single" w:sz="4" w:space="0" w:color="auto"/>
            </w:tcBorders>
            <w:shd w:val="clear" w:color="auto" w:fill="auto"/>
            <w:noWrap/>
            <w:vAlign w:val="bottom"/>
            <w:hideMark/>
          </w:tcPr>
          <w:p w14:paraId="7CC8216B"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1.14%</w:t>
            </w:r>
          </w:p>
        </w:tc>
      </w:tr>
      <w:tr w:rsidR="009D0FBA" w:rsidRPr="009D0FBA" w14:paraId="29AB9352"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1BEF7E8C"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symool</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4DD67B74"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Sky Blue Aster</w:t>
            </w:r>
          </w:p>
        </w:tc>
        <w:tc>
          <w:tcPr>
            <w:tcW w:w="2880" w:type="dxa"/>
            <w:tcBorders>
              <w:top w:val="nil"/>
              <w:left w:val="nil"/>
              <w:bottom w:val="single" w:sz="4" w:space="0" w:color="auto"/>
              <w:right w:val="single" w:sz="4" w:space="0" w:color="auto"/>
            </w:tcBorders>
            <w:shd w:val="clear" w:color="000000" w:fill="A9D08E"/>
            <w:noWrap/>
            <w:vAlign w:val="bottom"/>
            <w:hideMark/>
          </w:tcPr>
          <w:p w14:paraId="384AECA1"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Symphyotrichum</w:t>
            </w:r>
            <w:proofErr w:type="spellEnd"/>
            <w:r w:rsidRPr="009D0FBA">
              <w:rPr>
                <w:rFonts w:ascii="Arial" w:eastAsia="Times New Roman" w:hAnsi="Arial" w:cs="Arial"/>
                <w:color w:val="000000"/>
                <w:sz w:val="20"/>
                <w:szCs w:val="20"/>
              </w:rPr>
              <w:t xml:space="preserve"> </w:t>
            </w:r>
            <w:proofErr w:type="spellStart"/>
            <w:r w:rsidRPr="009D0FBA">
              <w:rPr>
                <w:rFonts w:ascii="Arial" w:eastAsia="Times New Roman" w:hAnsi="Arial" w:cs="Arial"/>
                <w:color w:val="000000"/>
                <w:sz w:val="20"/>
                <w:szCs w:val="20"/>
              </w:rPr>
              <w:t>oolentangiense</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2D64AE03"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0.03</w:t>
            </w:r>
          </w:p>
        </w:tc>
        <w:tc>
          <w:tcPr>
            <w:tcW w:w="1170" w:type="dxa"/>
            <w:tcBorders>
              <w:top w:val="nil"/>
              <w:left w:val="nil"/>
              <w:bottom w:val="single" w:sz="4" w:space="0" w:color="auto"/>
              <w:right w:val="single" w:sz="4" w:space="0" w:color="auto"/>
            </w:tcBorders>
            <w:shd w:val="clear" w:color="auto" w:fill="auto"/>
            <w:noWrap/>
            <w:vAlign w:val="bottom"/>
            <w:hideMark/>
          </w:tcPr>
          <w:p w14:paraId="0A74748C"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0.13%</w:t>
            </w:r>
          </w:p>
        </w:tc>
        <w:tc>
          <w:tcPr>
            <w:tcW w:w="1106" w:type="dxa"/>
            <w:tcBorders>
              <w:top w:val="nil"/>
              <w:left w:val="nil"/>
              <w:bottom w:val="single" w:sz="4" w:space="0" w:color="auto"/>
              <w:right w:val="single" w:sz="4" w:space="0" w:color="auto"/>
            </w:tcBorders>
            <w:shd w:val="clear" w:color="auto" w:fill="auto"/>
            <w:noWrap/>
            <w:vAlign w:val="bottom"/>
            <w:hideMark/>
          </w:tcPr>
          <w:p w14:paraId="30A7CEF7"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0.88</w:t>
            </w:r>
          </w:p>
        </w:tc>
        <w:tc>
          <w:tcPr>
            <w:tcW w:w="694" w:type="dxa"/>
            <w:tcBorders>
              <w:top w:val="nil"/>
              <w:left w:val="nil"/>
              <w:bottom w:val="single" w:sz="4" w:space="0" w:color="auto"/>
              <w:right w:val="single" w:sz="4" w:space="0" w:color="auto"/>
            </w:tcBorders>
            <w:shd w:val="clear" w:color="auto" w:fill="auto"/>
            <w:noWrap/>
            <w:vAlign w:val="bottom"/>
            <w:hideMark/>
          </w:tcPr>
          <w:p w14:paraId="30BBA4BC"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1.67%</w:t>
            </w:r>
          </w:p>
        </w:tc>
      </w:tr>
      <w:tr w:rsidR="009D0FBA" w:rsidRPr="009D0FBA" w14:paraId="056FF6BA"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363F6E28"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trabra</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3A71C54E"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Prairie Spiderwort</w:t>
            </w:r>
          </w:p>
        </w:tc>
        <w:tc>
          <w:tcPr>
            <w:tcW w:w="2880" w:type="dxa"/>
            <w:tcBorders>
              <w:top w:val="nil"/>
              <w:left w:val="nil"/>
              <w:bottom w:val="single" w:sz="4" w:space="0" w:color="auto"/>
              <w:right w:val="single" w:sz="4" w:space="0" w:color="auto"/>
            </w:tcBorders>
            <w:shd w:val="clear" w:color="000000" w:fill="A9D08E"/>
            <w:noWrap/>
            <w:vAlign w:val="bottom"/>
            <w:hideMark/>
          </w:tcPr>
          <w:p w14:paraId="39AB13D5"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 xml:space="preserve">Tradescantia </w:t>
            </w:r>
            <w:proofErr w:type="spellStart"/>
            <w:r w:rsidRPr="009D0FBA">
              <w:rPr>
                <w:rFonts w:ascii="Arial" w:eastAsia="Times New Roman" w:hAnsi="Arial" w:cs="Arial"/>
                <w:color w:val="000000"/>
                <w:sz w:val="20"/>
                <w:szCs w:val="20"/>
              </w:rPr>
              <w:t>bracteata</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7324ABB1"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0.03</w:t>
            </w:r>
          </w:p>
        </w:tc>
        <w:tc>
          <w:tcPr>
            <w:tcW w:w="1170" w:type="dxa"/>
            <w:tcBorders>
              <w:top w:val="nil"/>
              <w:left w:val="nil"/>
              <w:bottom w:val="single" w:sz="4" w:space="0" w:color="auto"/>
              <w:right w:val="single" w:sz="4" w:space="0" w:color="auto"/>
            </w:tcBorders>
            <w:shd w:val="clear" w:color="auto" w:fill="auto"/>
            <w:noWrap/>
            <w:vAlign w:val="bottom"/>
            <w:hideMark/>
          </w:tcPr>
          <w:p w14:paraId="60DB92EB"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0.13%</w:t>
            </w:r>
          </w:p>
        </w:tc>
        <w:tc>
          <w:tcPr>
            <w:tcW w:w="1106" w:type="dxa"/>
            <w:tcBorders>
              <w:top w:val="nil"/>
              <w:left w:val="nil"/>
              <w:bottom w:val="single" w:sz="4" w:space="0" w:color="auto"/>
              <w:right w:val="single" w:sz="4" w:space="0" w:color="auto"/>
            </w:tcBorders>
            <w:shd w:val="clear" w:color="auto" w:fill="auto"/>
            <w:noWrap/>
            <w:vAlign w:val="bottom"/>
            <w:hideMark/>
          </w:tcPr>
          <w:p w14:paraId="62A037AE"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0.11</w:t>
            </w:r>
          </w:p>
        </w:tc>
        <w:tc>
          <w:tcPr>
            <w:tcW w:w="694" w:type="dxa"/>
            <w:tcBorders>
              <w:top w:val="nil"/>
              <w:left w:val="nil"/>
              <w:bottom w:val="single" w:sz="4" w:space="0" w:color="auto"/>
              <w:right w:val="single" w:sz="4" w:space="0" w:color="auto"/>
            </w:tcBorders>
            <w:shd w:val="clear" w:color="auto" w:fill="auto"/>
            <w:noWrap/>
            <w:vAlign w:val="bottom"/>
            <w:hideMark/>
          </w:tcPr>
          <w:p w14:paraId="37850725"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0.21%</w:t>
            </w:r>
          </w:p>
        </w:tc>
      </w:tr>
      <w:tr w:rsidR="009D0FBA" w:rsidRPr="009D0FBA" w14:paraId="4CF8D342"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335900B5"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zizapt</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787CF000"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Heartleaf Alexanders</w:t>
            </w:r>
          </w:p>
        </w:tc>
        <w:tc>
          <w:tcPr>
            <w:tcW w:w="2880" w:type="dxa"/>
            <w:tcBorders>
              <w:top w:val="nil"/>
              <w:left w:val="nil"/>
              <w:bottom w:val="single" w:sz="4" w:space="0" w:color="auto"/>
              <w:right w:val="single" w:sz="4" w:space="0" w:color="auto"/>
            </w:tcBorders>
            <w:shd w:val="clear" w:color="000000" w:fill="A9D08E"/>
            <w:noWrap/>
            <w:vAlign w:val="bottom"/>
            <w:hideMark/>
          </w:tcPr>
          <w:p w14:paraId="6C101E71"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Zizia</w:t>
            </w:r>
            <w:proofErr w:type="spellEnd"/>
            <w:r w:rsidRPr="009D0FBA">
              <w:rPr>
                <w:rFonts w:ascii="Arial" w:eastAsia="Times New Roman" w:hAnsi="Arial" w:cs="Arial"/>
                <w:color w:val="000000"/>
                <w:sz w:val="20"/>
                <w:szCs w:val="20"/>
              </w:rPr>
              <w:t xml:space="preserve"> aptera</w:t>
            </w:r>
          </w:p>
        </w:tc>
        <w:tc>
          <w:tcPr>
            <w:tcW w:w="900" w:type="dxa"/>
            <w:tcBorders>
              <w:top w:val="nil"/>
              <w:left w:val="nil"/>
              <w:bottom w:val="single" w:sz="4" w:space="0" w:color="auto"/>
              <w:right w:val="single" w:sz="4" w:space="0" w:color="auto"/>
            </w:tcBorders>
            <w:shd w:val="clear" w:color="auto" w:fill="auto"/>
            <w:noWrap/>
            <w:vAlign w:val="bottom"/>
            <w:hideMark/>
          </w:tcPr>
          <w:p w14:paraId="416CCB5D"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0.03</w:t>
            </w:r>
          </w:p>
        </w:tc>
        <w:tc>
          <w:tcPr>
            <w:tcW w:w="1170" w:type="dxa"/>
            <w:tcBorders>
              <w:top w:val="nil"/>
              <w:left w:val="nil"/>
              <w:bottom w:val="single" w:sz="4" w:space="0" w:color="auto"/>
              <w:right w:val="single" w:sz="4" w:space="0" w:color="auto"/>
            </w:tcBorders>
            <w:shd w:val="clear" w:color="auto" w:fill="auto"/>
            <w:noWrap/>
            <w:vAlign w:val="bottom"/>
            <w:hideMark/>
          </w:tcPr>
          <w:p w14:paraId="05C2816F"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0.13%</w:t>
            </w:r>
          </w:p>
        </w:tc>
        <w:tc>
          <w:tcPr>
            <w:tcW w:w="1106" w:type="dxa"/>
            <w:tcBorders>
              <w:top w:val="nil"/>
              <w:left w:val="nil"/>
              <w:bottom w:val="single" w:sz="4" w:space="0" w:color="auto"/>
              <w:right w:val="single" w:sz="4" w:space="0" w:color="auto"/>
            </w:tcBorders>
            <w:shd w:val="clear" w:color="auto" w:fill="auto"/>
            <w:noWrap/>
            <w:vAlign w:val="bottom"/>
            <w:hideMark/>
          </w:tcPr>
          <w:p w14:paraId="11EC4037"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0.13</w:t>
            </w:r>
          </w:p>
        </w:tc>
        <w:tc>
          <w:tcPr>
            <w:tcW w:w="694" w:type="dxa"/>
            <w:tcBorders>
              <w:top w:val="nil"/>
              <w:left w:val="nil"/>
              <w:bottom w:val="single" w:sz="4" w:space="0" w:color="auto"/>
              <w:right w:val="single" w:sz="4" w:space="0" w:color="auto"/>
            </w:tcBorders>
            <w:shd w:val="clear" w:color="auto" w:fill="auto"/>
            <w:noWrap/>
            <w:vAlign w:val="bottom"/>
            <w:hideMark/>
          </w:tcPr>
          <w:p w14:paraId="2F683CFF"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0.25%</w:t>
            </w:r>
          </w:p>
        </w:tc>
      </w:tr>
      <w:tr w:rsidR="009D0FBA" w:rsidRPr="009D0FBA" w14:paraId="7E7F8B6B"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00CD75E7"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zizaur</w:t>
            </w:r>
            <w:proofErr w:type="spellEnd"/>
          </w:p>
        </w:tc>
        <w:tc>
          <w:tcPr>
            <w:tcW w:w="2222" w:type="dxa"/>
            <w:tcBorders>
              <w:top w:val="nil"/>
              <w:left w:val="nil"/>
              <w:bottom w:val="single" w:sz="4" w:space="0" w:color="auto"/>
              <w:right w:val="single" w:sz="4" w:space="0" w:color="auto"/>
            </w:tcBorders>
            <w:shd w:val="clear" w:color="auto" w:fill="auto"/>
            <w:noWrap/>
            <w:vAlign w:val="bottom"/>
            <w:hideMark/>
          </w:tcPr>
          <w:p w14:paraId="6530DA1C"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Golden Alexanders</w:t>
            </w:r>
          </w:p>
        </w:tc>
        <w:tc>
          <w:tcPr>
            <w:tcW w:w="2880" w:type="dxa"/>
            <w:tcBorders>
              <w:top w:val="nil"/>
              <w:left w:val="nil"/>
              <w:bottom w:val="single" w:sz="4" w:space="0" w:color="auto"/>
              <w:right w:val="single" w:sz="4" w:space="0" w:color="auto"/>
            </w:tcBorders>
            <w:shd w:val="clear" w:color="000000" w:fill="A9D08E"/>
            <w:noWrap/>
            <w:vAlign w:val="bottom"/>
            <w:hideMark/>
          </w:tcPr>
          <w:p w14:paraId="1E2C510C"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Zizia</w:t>
            </w:r>
            <w:proofErr w:type="spellEnd"/>
            <w:r w:rsidRPr="009D0FBA">
              <w:rPr>
                <w:rFonts w:ascii="Arial" w:eastAsia="Times New Roman" w:hAnsi="Arial" w:cs="Arial"/>
                <w:color w:val="000000"/>
                <w:sz w:val="20"/>
                <w:szCs w:val="20"/>
              </w:rPr>
              <w:t xml:space="preserve"> </w:t>
            </w:r>
            <w:proofErr w:type="spellStart"/>
            <w:r w:rsidRPr="009D0FBA">
              <w:rPr>
                <w:rFonts w:ascii="Arial" w:eastAsia="Times New Roman" w:hAnsi="Arial" w:cs="Arial"/>
                <w:color w:val="000000"/>
                <w:sz w:val="20"/>
                <w:szCs w:val="20"/>
              </w:rPr>
              <w:t>aurea</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252DF561"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0.15</w:t>
            </w:r>
          </w:p>
        </w:tc>
        <w:tc>
          <w:tcPr>
            <w:tcW w:w="1170" w:type="dxa"/>
            <w:tcBorders>
              <w:top w:val="nil"/>
              <w:left w:val="nil"/>
              <w:bottom w:val="single" w:sz="4" w:space="0" w:color="auto"/>
              <w:right w:val="single" w:sz="4" w:space="0" w:color="auto"/>
            </w:tcBorders>
            <w:shd w:val="clear" w:color="auto" w:fill="auto"/>
            <w:noWrap/>
            <w:vAlign w:val="bottom"/>
            <w:hideMark/>
          </w:tcPr>
          <w:p w14:paraId="6F2B50AB"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0.65%</w:t>
            </w:r>
          </w:p>
        </w:tc>
        <w:tc>
          <w:tcPr>
            <w:tcW w:w="1106" w:type="dxa"/>
            <w:tcBorders>
              <w:top w:val="nil"/>
              <w:left w:val="nil"/>
              <w:bottom w:val="single" w:sz="4" w:space="0" w:color="auto"/>
              <w:right w:val="single" w:sz="4" w:space="0" w:color="auto"/>
            </w:tcBorders>
            <w:shd w:val="clear" w:color="auto" w:fill="auto"/>
            <w:noWrap/>
            <w:vAlign w:val="bottom"/>
            <w:hideMark/>
          </w:tcPr>
          <w:p w14:paraId="6BC2A66E"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0.61</w:t>
            </w:r>
          </w:p>
        </w:tc>
        <w:tc>
          <w:tcPr>
            <w:tcW w:w="694" w:type="dxa"/>
            <w:tcBorders>
              <w:top w:val="nil"/>
              <w:left w:val="nil"/>
              <w:bottom w:val="single" w:sz="4" w:space="0" w:color="auto"/>
              <w:right w:val="single" w:sz="4" w:space="0" w:color="auto"/>
            </w:tcBorders>
            <w:shd w:val="clear" w:color="auto" w:fill="auto"/>
            <w:noWrap/>
            <w:vAlign w:val="bottom"/>
            <w:hideMark/>
          </w:tcPr>
          <w:p w14:paraId="2577C2F9"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1.14%</w:t>
            </w:r>
          </w:p>
        </w:tc>
      </w:tr>
      <w:tr w:rsidR="009D0FBA" w:rsidRPr="009D0FBA" w14:paraId="2E13CDEE" w14:textId="77777777" w:rsidTr="009D0FBA">
        <w:trPr>
          <w:trHeight w:val="255"/>
        </w:trPr>
        <w:tc>
          <w:tcPr>
            <w:tcW w:w="928" w:type="dxa"/>
            <w:tcBorders>
              <w:top w:val="nil"/>
              <w:left w:val="single" w:sz="4" w:space="0" w:color="auto"/>
              <w:bottom w:val="single" w:sz="4" w:space="0" w:color="auto"/>
              <w:right w:val="single" w:sz="4" w:space="0" w:color="auto"/>
            </w:tcBorders>
            <w:shd w:val="clear" w:color="000000" w:fill="9BC2E6"/>
            <w:noWrap/>
            <w:vAlign w:val="bottom"/>
            <w:hideMark/>
          </w:tcPr>
          <w:p w14:paraId="7E147437" w14:textId="77777777" w:rsidR="009D0FBA" w:rsidRPr="009D0FBA" w:rsidRDefault="009D0FBA" w:rsidP="009D0FBA">
            <w:pPr>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 </w:t>
            </w:r>
          </w:p>
        </w:tc>
        <w:tc>
          <w:tcPr>
            <w:tcW w:w="2222" w:type="dxa"/>
            <w:tcBorders>
              <w:top w:val="nil"/>
              <w:left w:val="nil"/>
              <w:bottom w:val="single" w:sz="4" w:space="0" w:color="auto"/>
              <w:right w:val="single" w:sz="4" w:space="0" w:color="auto"/>
            </w:tcBorders>
            <w:shd w:val="clear" w:color="000000" w:fill="9BC2E6"/>
            <w:noWrap/>
            <w:vAlign w:val="bottom"/>
            <w:hideMark/>
          </w:tcPr>
          <w:p w14:paraId="71BB54FE" w14:textId="77777777" w:rsidR="009D0FBA" w:rsidRPr="009D0FBA" w:rsidRDefault="009D0FBA" w:rsidP="009D0FBA">
            <w:pPr>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 </w:t>
            </w:r>
          </w:p>
        </w:tc>
        <w:tc>
          <w:tcPr>
            <w:tcW w:w="2880" w:type="dxa"/>
            <w:tcBorders>
              <w:top w:val="nil"/>
              <w:left w:val="nil"/>
              <w:bottom w:val="single" w:sz="4" w:space="0" w:color="auto"/>
              <w:right w:val="single" w:sz="4" w:space="0" w:color="auto"/>
            </w:tcBorders>
            <w:shd w:val="clear" w:color="000000" w:fill="9BC2E6"/>
            <w:noWrap/>
            <w:vAlign w:val="bottom"/>
            <w:hideMark/>
          </w:tcPr>
          <w:p w14:paraId="3AB88D95" w14:textId="77777777" w:rsidR="009D0FBA" w:rsidRPr="009D0FBA" w:rsidRDefault="009D0FBA" w:rsidP="009D0FBA">
            <w:pPr>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Forbs Subtotal</w:t>
            </w:r>
          </w:p>
        </w:tc>
        <w:tc>
          <w:tcPr>
            <w:tcW w:w="900" w:type="dxa"/>
            <w:tcBorders>
              <w:top w:val="nil"/>
              <w:left w:val="nil"/>
              <w:bottom w:val="single" w:sz="4" w:space="0" w:color="auto"/>
              <w:right w:val="single" w:sz="4" w:space="0" w:color="auto"/>
            </w:tcBorders>
            <w:shd w:val="clear" w:color="000000" w:fill="9BC2E6"/>
            <w:noWrap/>
            <w:vAlign w:val="bottom"/>
            <w:hideMark/>
          </w:tcPr>
          <w:p w14:paraId="551C69F7" w14:textId="77777777" w:rsidR="009D0FBA" w:rsidRPr="009D0FBA" w:rsidRDefault="009D0FBA" w:rsidP="009D0FBA">
            <w:pPr>
              <w:jc w:val="right"/>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2.10</w:t>
            </w:r>
          </w:p>
        </w:tc>
        <w:tc>
          <w:tcPr>
            <w:tcW w:w="1170" w:type="dxa"/>
            <w:tcBorders>
              <w:top w:val="nil"/>
              <w:left w:val="nil"/>
              <w:bottom w:val="single" w:sz="4" w:space="0" w:color="auto"/>
              <w:right w:val="single" w:sz="4" w:space="0" w:color="auto"/>
            </w:tcBorders>
            <w:shd w:val="clear" w:color="000000" w:fill="9BC2E6"/>
            <w:noWrap/>
            <w:vAlign w:val="bottom"/>
            <w:hideMark/>
          </w:tcPr>
          <w:p w14:paraId="3E1A0498" w14:textId="77777777" w:rsidR="009D0FBA" w:rsidRPr="009D0FBA" w:rsidRDefault="009D0FBA" w:rsidP="009D0FBA">
            <w:pPr>
              <w:jc w:val="right"/>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9.09%</w:t>
            </w:r>
          </w:p>
        </w:tc>
        <w:tc>
          <w:tcPr>
            <w:tcW w:w="1106" w:type="dxa"/>
            <w:tcBorders>
              <w:top w:val="nil"/>
              <w:left w:val="nil"/>
              <w:bottom w:val="single" w:sz="4" w:space="0" w:color="auto"/>
              <w:right w:val="single" w:sz="4" w:space="0" w:color="auto"/>
            </w:tcBorders>
            <w:shd w:val="clear" w:color="000000" w:fill="9BC2E6"/>
            <w:noWrap/>
            <w:vAlign w:val="bottom"/>
            <w:hideMark/>
          </w:tcPr>
          <w:p w14:paraId="072F0939" w14:textId="77777777" w:rsidR="009D0FBA" w:rsidRPr="009D0FBA" w:rsidRDefault="009D0FBA" w:rsidP="009D0FBA">
            <w:pPr>
              <w:jc w:val="right"/>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16.92</w:t>
            </w:r>
          </w:p>
        </w:tc>
        <w:tc>
          <w:tcPr>
            <w:tcW w:w="694" w:type="dxa"/>
            <w:tcBorders>
              <w:top w:val="nil"/>
              <w:left w:val="nil"/>
              <w:bottom w:val="single" w:sz="4" w:space="0" w:color="auto"/>
              <w:right w:val="single" w:sz="4" w:space="0" w:color="auto"/>
            </w:tcBorders>
            <w:shd w:val="clear" w:color="000000" w:fill="9BC2E6"/>
            <w:noWrap/>
            <w:vAlign w:val="bottom"/>
            <w:hideMark/>
          </w:tcPr>
          <w:p w14:paraId="3281868E" w14:textId="77777777" w:rsidR="009D0FBA" w:rsidRPr="009D0FBA" w:rsidRDefault="009D0FBA" w:rsidP="009D0FBA">
            <w:pPr>
              <w:jc w:val="right"/>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31.96%</w:t>
            </w:r>
          </w:p>
        </w:tc>
      </w:tr>
      <w:tr w:rsidR="009D0FBA" w:rsidRPr="009D0FBA" w14:paraId="08273C06" w14:textId="77777777" w:rsidTr="009D0FBA">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48CFDCDB"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cover</w:t>
            </w:r>
          </w:p>
        </w:tc>
        <w:tc>
          <w:tcPr>
            <w:tcW w:w="2222" w:type="dxa"/>
            <w:tcBorders>
              <w:top w:val="nil"/>
              <w:left w:val="nil"/>
              <w:bottom w:val="single" w:sz="4" w:space="0" w:color="auto"/>
              <w:right w:val="single" w:sz="4" w:space="0" w:color="auto"/>
            </w:tcBorders>
            <w:shd w:val="clear" w:color="auto" w:fill="auto"/>
            <w:noWrap/>
            <w:vAlign w:val="bottom"/>
            <w:hideMark/>
          </w:tcPr>
          <w:p w14:paraId="69589CA4" w14:textId="77777777" w:rsidR="009D0FBA" w:rsidRPr="009D0FBA" w:rsidRDefault="009D0FBA" w:rsidP="009D0FBA">
            <w:pPr>
              <w:rPr>
                <w:rFonts w:ascii="Arial" w:eastAsia="Times New Roman" w:hAnsi="Arial" w:cs="Arial"/>
                <w:color w:val="000000"/>
                <w:sz w:val="20"/>
                <w:szCs w:val="20"/>
              </w:rPr>
            </w:pPr>
            <w:r w:rsidRPr="009D0FBA">
              <w:rPr>
                <w:rFonts w:ascii="Arial" w:eastAsia="Times New Roman" w:hAnsi="Arial" w:cs="Arial"/>
                <w:color w:val="000000"/>
                <w:sz w:val="20"/>
                <w:szCs w:val="20"/>
              </w:rPr>
              <w:t>Oats/Winter Wheat</w:t>
            </w:r>
          </w:p>
        </w:tc>
        <w:tc>
          <w:tcPr>
            <w:tcW w:w="2880" w:type="dxa"/>
            <w:tcBorders>
              <w:top w:val="nil"/>
              <w:left w:val="nil"/>
              <w:bottom w:val="single" w:sz="4" w:space="0" w:color="auto"/>
              <w:right w:val="single" w:sz="4" w:space="0" w:color="auto"/>
            </w:tcBorders>
            <w:shd w:val="clear" w:color="000000" w:fill="A9D08E"/>
            <w:noWrap/>
            <w:vAlign w:val="bottom"/>
            <w:hideMark/>
          </w:tcPr>
          <w:p w14:paraId="077E2CAD" w14:textId="77777777" w:rsidR="009D0FBA" w:rsidRPr="009D0FBA" w:rsidRDefault="009D0FBA" w:rsidP="009D0FBA">
            <w:pPr>
              <w:rPr>
                <w:rFonts w:ascii="Arial" w:eastAsia="Times New Roman" w:hAnsi="Arial" w:cs="Arial"/>
                <w:color w:val="000000"/>
                <w:sz w:val="20"/>
                <w:szCs w:val="20"/>
              </w:rPr>
            </w:pPr>
            <w:proofErr w:type="spellStart"/>
            <w:r w:rsidRPr="009D0FBA">
              <w:rPr>
                <w:rFonts w:ascii="Arial" w:eastAsia="Times New Roman" w:hAnsi="Arial" w:cs="Arial"/>
                <w:color w:val="000000"/>
                <w:sz w:val="20"/>
                <w:szCs w:val="20"/>
              </w:rPr>
              <w:t>Avena</w:t>
            </w:r>
            <w:proofErr w:type="spellEnd"/>
            <w:r w:rsidRPr="009D0FBA">
              <w:rPr>
                <w:rFonts w:ascii="Arial" w:eastAsia="Times New Roman" w:hAnsi="Arial" w:cs="Arial"/>
                <w:color w:val="000000"/>
                <w:sz w:val="20"/>
                <w:szCs w:val="20"/>
              </w:rPr>
              <w:t xml:space="preserve"> sativa/Triticum </w:t>
            </w:r>
            <w:proofErr w:type="spellStart"/>
            <w:r w:rsidRPr="009D0FBA">
              <w:rPr>
                <w:rFonts w:ascii="Arial" w:eastAsia="Times New Roman" w:hAnsi="Arial" w:cs="Arial"/>
                <w:color w:val="000000"/>
                <w:sz w:val="20"/>
                <w:szCs w:val="20"/>
              </w:rPr>
              <w:t>aestivum</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0E84AE4F"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15.00</w:t>
            </w:r>
          </w:p>
        </w:tc>
        <w:tc>
          <w:tcPr>
            <w:tcW w:w="1170" w:type="dxa"/>
            <w:tcBorders>
              <w:top w:val="nil"/>
              <w:left w:val="nil"/>
              <w:bottom w:val="single" w:sz="4" w:space="0" w:color="auto"/>
              <w:right w:val="single" w:sz="4" w:space="0" w:color="auto"/>
            </w:tcBorders>
            <w:shd w:val="clear" w:color="auto" w:fill="auto"/>
            <w:noWrap/>
            <w:vAlign w:val="bottom"/>
            <w:hideMark/>
          </w:tcPr>
          <w:p w14:paraId="131FCECA"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64.94%</w:t>
            </w:r>
          </w:p>
        </w:tc>
        <w:tc>
          <w:tcPr>
            <w:tcW w:w="1106" w:type="dxa"/>
            <w:tcBorders>
              <w:top w:val="nil"/>
              <w:left w:val="nil"/>
              <w:bottom w:val="single" w:sz="4" w:space="0" w:color="auto"/>
              <w:right w:val="single" w:sz="4" w:space="0" w:color="auto"/>
            </w:tcBorders>
            <w:shd w:val="clear" w:color="auto" w:fill="auto"/>
            <w:noWrap/>
            <w:vAlign w:val="bottom"/>
            <w:hideMark/>
          </w:tcPr>
          <w:p w14:paraId="464CD6CD"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6.68</w:t>
            </w:r>
          </w:p>
        </w:tc>
        <w:tc>
          <w:tcPr>
            <w:tcW w:w="694" w:type="dxa"/>
            <w:tcBorders>
              <w:top w:val="nil"/>
              <w:left w:val="nil"/>
              <w:bottom w:val="single" w:sz="4" w:space="0" w:color="auto"/>
              <w:right w:val="single" w:sz="4" w:space="0" w:color="auto"/>
            </w:tcBorders>
            <w:shd w:val="clear" w:color="auto" w:fill="auto"/>
            <w:noWrap/>
            <w:vAlign w:val="bottom"/>
            <w:hideMark/>
          </w:tcPr>
          <w:p w14:paraId="0CD951E3" w14:textId="77777777" w:rsidR="009D0FBA" w:rsidRPr="009D0FBA" w:rsidRDefault="009D0FBA" w:rsidP="009D0FBA">
            <w:pPr>
              <w:jc w:val="right"/>
              <w:rPr>
                <w:rFonts w:ascii="Arial" w:eastAsia="Times New Roman" w:hAnsi="Arial" w:cs="Arial"/>
                <w:color w:val="000000"/>
                <w:sz w:val="20"/>
                <w:szCs w:val="20"/>
              </w:rPr>
            </w:pPr>
            <w:r w:rsidRPr="009D0FBA">
              <w:rPr>
                <w:rFonts w:ascii="Arial" w:eastAsia="Times New Roman" w:hAnsi="Arial" w:cs="Arial"/>
                <w:color w:val="000000"/>
                <w:sz w:val="20"/>
                <w:szCs w:val="20"/>
              </w:rPr>
              <w:t>12.62%</w:t>
            </w:r>
          </w:p>
        </w:tc>
      </w:tr>
      <w:tr w:rsidR="009D0FBA" w:rsidRPr="009D0FBA" w14:paraId="6C61D1B8" w14:textId="77777777" w:rsidTr="009D0FBA">
        <w:trPr>
          <w:trHeight w:val="255"/>
        </w:trPr>
        <w:tc>
          <w:tcPr>
            <w:tcW w:w="928" w:type="dxa"/>
            <w:tcBorders>
              <w:top w:val="nil"/>
              <w:left w:val="single" w:sz="4" w:space="0" w:color="auto"/>
              <w:bottom w:val="single" w:sz="4" w:space="0" w:color="auto"/>
              <w:right w:val="single" w:sz="4" w:space="0" w:color="auto"/>
            </w:tcBorders>
            <w:shd w:val="clear" w:color="000000" w:fill="9BC2E6"/>
            <w:noWrap/>
            <w:vAlign w:val="bottom"/>
            <w:hideMark/>
          </w:tcPr>
          <w:p w14:paraId="64365B63" w14:textId="77777777" w:rsidR="009D0FBA" w:rsidRPr="009D0FBA" w:rsidRDefault="009D0FBA" w:rsidP="009D0FBA">
            <w:pPr>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 </w:t>
            </w:r>
          </w:p>
        </w:tc>
        <w:tc>
          <w:tcPr>
            <w:tcW w:w="2222" w:type="dxa"/>
            <w:tcBorders>
              <w:top w:val="nil"/>
              <w:left w:val="nil"/>
              <w:bottom w:val="single" w:sz="4" w:space="0" w:color="auto"/>
              <w:right w:val="single" w:sz="4" w:space="0" w:color="auto"/>
            </w:tcBorders>
            <w:shd w:val="clear" w:color="000000" w:fill="9BC2E6"/>
            <w:noWrap/>
            <w:vAlign w:val="bottom"/>
            <w:hideMark/>
          </w:tcPr>
          <w:p w14:paraId="145CE16C" w14:textId="77777777" w:rsidR="009D0FBA" w:rsidRPr="009D0FBA" w:rsidRDefault="009D0FBA" w:rsidP="009D0FBA">
            <w:pPr>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 </w:t>
            </w:r>
          </w:p>
        </w:tc>
        <w:tc>
          <w:tcPr>
            <w:tcW w:w="2880" w:type="dxa"/>
            <w:tcBorders>
              <w:top w:val="nil"/>
              <w:left w:val="nil"/>
              <w:bottom w:val="single" w:sz="4" w:space="0" w:color="auto"/>
              <w:right w:val="single" w:sz="4" w:space="0" w:color="auto"/>
            </w:tcBorders>
            <w:shd w:val="clear" w:color="000000" w:fill="9BC2E6"/>
            <w:noWrap/>
            <w:vAlign w:val="bottom"/>
            <w:hideMark/>
          </w:tcPr>
          <w:p w14:paraId="4A40BAC2" w14:textId="77777777" w:rsidR="009D0FBA" w:rsidRPr="009D0FBA" w:rsidRDefault="009D0FBA" w:rsidP="009D0FBA">
            <w:pPr>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Cover Crop Subtotal</w:t>
            </w:r>
          </w:p>
        </w:tc>
        <w:tc>
          <w:tcPr>
            <w:tcW w:w="900" w:type="dxa"/>
            <w:tcBorders>
              <w:top w:val="nil"/>
              <w:left w:val="nil"/>
              <w:bottom w:val="single" w:sz="4" w:space="0" w:color="auto"/>
              <w:right w:val="single" w:sz="4" w:space="0" w:color="auto"/>
            </w:tcBorders>
            <w:shd w:val="clear" w:color="000000" w:fill="9BC2E6"/>
            <w:noWrap/>
            <w:vAlign w:val="bottom"/>
            <w:hideMark/>
          </w:tcPr>
          <w:p w14:paraId="30498C1B" w14:textId="77777777" w:rsidR="009D0FBA" w:rsidRPr="009D0FBA" w:rsidRDefault="009D0FBA" w:rsidP="009D0FBA">
            <w:pPr>
              <w:jc w:val="right"/>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15.00</w:t>
            </w:r>
          </w:p>
        </w:tc>
        <w:tc>
          <w:tcPr>
            <w:tcW w:w="1170" w:type="dxa"/>
            <w:tcBorders>
              <w:top w:val="nil"/>
              <w:left w:val="nil"/>
              <w:bottom w:val="single" w:sz="4" w:space="0" w:color="auto"/>
              <w:right w:val="single" w:sz="4" w:space="0" w:color="auto"/>
            </w:tcBorders>
            <w:shd w:val="clear" w:color="000000" w:fill="9BC2E6"/>
            <w:noWrap/>
            <w:vAlign w:val="bottom"/>
            <w:hideMark/>
          </w:tcPr>
          <w:p w14:paraId="1090A34E" w14:textId="77777777" w:rsidR="009D0FBA" w:rsidRPr="009D0FBA" w:rsidRDefault="009D0FBA" w:rsidP="009D0FBA">
            <w:pPr>
              <w:jc w:val="right"/>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64.94%</w:t>
            </w:r>
          </w:p>
        </w:tc>
        <w:tc>
          <w:tcPr>
            <w:tcW w:w="1106" w:type="dxa"/>
            <w:tcBorders>
              <w:top w:val="nil"/>
              <w:left w:val="nil"/>
              <w:bottom w:val="single" w:sz="4" w:space="0" w:color="auto"/>
              <w:right w:val="single" w:sz="4" w:space="0" w:color="auto"/>
            </w:tcBorders>
            <w:shd w:val="clear" w:color="000000" w:fill="9BC2E6"/>
            <w:noWrap/>
            <w:vAlign w:val="bottom"/>
            <w:hideMark/>
          </w:tcPr>
          <w:p w14:paraId="17D5A35B" w14:textId="77777777" w:rsidR="009D0FBA" w:rsidRPr="009D0FBA" w:rsidRDefault="009D0FBA" w:rsidP="009D0FBA">
            <w:pPr>
              <w:jc w:val="right"/>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6.68</w:t>
            </w:r>
          </w:p>
        </w:tc>
        <w:tc>
          <w:tcPr>
            <w:tcW w:w="694" w:type="dxa"/>
            <w:tcBorders>
              <w:top w:val="nil"/>
              <w:left w:val="nil"/>
              <w:bottom w:val="single" w:sz="4" w:space="0" w:color="auto"/>
              <w:right w:val="single" w:sz="4" w:space="0" w:color="auto"/>
            </w:tcBorders>
            <w:shd w:val="clear" w:color="000000" w:fill="9BC2E6"/>
            <w:noWrap/>
            <w:vAlign w:val="bottom"/>
            <w:hideMark/>
          </w:tcPr>
          <w:p w14:paraId="79E8A07D" w14:textId="77777777" w:rsidR="009D0FBA" w:rsidRPr="009D0FBA" w:rsidRDefault="009D0FBA" w:rsidP="009D0FBA">
            <w:pPr>
              <w:jc w:val="right"/>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12.62%</w:t>
            </w:r>
          </w:p>
        </w:tc>
      </w:tr>
      <w:tr w:rsidR="009D0FBA" w:rsidRPr="009D0FBA" w14:paraId="48BDA9E3" w14:textId="77777777" w:rsidTr="009D0FBA">
        <w:trPr>
          <w:trHeight w:val="255"/>
        </w:trPr>
        <w:tc>
          <w:tcPr>
            <w:tcW w:w="928" w:type="dxa"/>
            <w:tcBorders>
              <w:top w:val="nil"/>
              <w:left w:val="single" w:sz="4" w:space="0" w:color="auto"/>
              <w:bottom w:val="single" w:sz="4" w:space="0" w:color="auto"/>
              <w:right w:val="single" w:sz="4" w:space="0" w:color="auto"/>
            </w:tcBorders>
            <w:shd w:val="clear" w:color="000000" w:fill="9BC2E6"/>
            <w:noWrap/>
            <w:vAlign w:val="bottom"/>
            <w:hideMark/>
          </w:tcPr>
          <w:p w14:paraId="7FB778D9" w14:textId="77777777" w:rsidR="009D0FBA" w:rsidRPr="009D0FBA" w:rsidRDefault="009D0FBA" w:rsidP="009D0FBA">
            <w:pPr>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 </w:t>
            </w:r>
          </w:p>
        </w:tc>
        <w:tc>
          <w:tcPr>
            <w:tcW w:w="2222" w:type="dxa"/>
            <w:tcBorders>
              <w:top w:val="nil"/>
              <w:left w:val="nil"/>
              <w:bottom w:val="single" w:sz="4" w:space="0" w:color="auto"/>
              <w:right w:val="single" w:sz="4" w:space="0" w:color="auto"/>
            </w:tcBorders>
            <w:shd w:val="clear" w:color="000000" w:fill="9BC2E6"/>
            <w:noWrap/>
            <w:vAlign w:val="bottom"/>
            <w:hideMark/>
          </w:tcPr>
          <w:p w14:paraId="3CA42A86" w14:textId="77777777" w:rsidR="009D0FBA" w:rsidRPr="009D0FBA" w:rsidRDefault="009D0FBA" w:rsidP="009D0FBA">
            <w:pPr>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 </w:t>
            </w:r>
          </w:p>
        </w:tc>
        <w:tc>
          <w:tcPr>
            <w:tcW w:w="2880" w:type="dxa"/>
            <w:tcBorders>
              <w:top w:val="nil"/>
              <w:left w:val="nil"/>
              <w:bottom w:val="single" w:sz="4" w:space="0" w:color="auto"/>
              <w:right w:val="single" w:sz="4" w:space="0" w:color="auto"/>
            </w:tcBorders>
            <w:shd w:val="clear" w:color="000000" w:fill="9BC2E6"/>
            <w:noWrap/>
            <w:vAlign w:val="bottom"/>
            <w:hideMark/>
          </w:tcPr>
          <w:p w14:paraId="01001CBE" w14:textId="77777777" w:rsidR="009D0FBA" w:rsidRPr="009D0FBA" w:rsidRDefault="009D0FBA" w:rsidP="009D0FBA">
            <w:pPr>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Total</w:t>
            </w:r>
          </w:p>
        </w:tc>
        <w:tc>
          <w:tcPr>
            <w:tcW w:w="900" w:type="dxa"/>
            <w:tcBorders>
              <w:top w:val="nil"/>
              <w:left w:val="nil"/>
              <w:bottom w:val="single" w:sz="4" w:space="0" w:color="auto"/>
              <w:right w:val="single" w:sz="4" w:space="0" w:color="auto"/>
            </w:tcBorders>
            <w:shd w:val="clear" w:color="000000" w:fill="9BC2E6"/>
            <w:noWrap/>
            <w:vAlign w:val="bottom"/>
            <w:hideMark/>
          </w:tcPr>
          <w:p w14:paraId="7C5B5220" w14:textId="77777777" w:rsidR="009D0FBA" w:rsidRPr="009D0FBA" w:rsidRDefault="009D0FBA" w:rsidP="009D0FBA">
            <w:pPr>
              <w:jc w:val="right"/>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23.10</w:t>
            </w:r>
          </w:p>
        </w:tc>
        <w:tc>
          <w:tcPr>
            <w:tcW w:w="1170" w:type="dxa"/>
            <w:tcBorders>
              <w:top w:val="nil"/>
              <w:left w:val="nil"/>
              <w:bottom w:val="single" w:sz="4" w:space="0" w:color="auto"/>
              <w:right w:val="single" w:sz="4" w:space="0" w:color="auto"/>
            </w:tcBorders>
            <w:shd w:val="clear" w:color="000000" w:fill="9BC2E6"/>
            <w:noWrap/>
            <w:vAlign w:val="bottom"/>
            <w:hideMark/>
          </w:tcPr>
          <w:p w14:paraId="566AA32A" w14:textId="77777777" w:rsidR="009D0FBA" w:rsidRPr="009D0FBA" w:rsidRDefault="009D0FBA" w:rsidP="009D0FBA">
            <w:pPr>
              <w:jc w:val="right"/>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100.00%</w:t>
            </w:r>
          </w:p>
        </w:tc>
        <w:tc>
          <w:tcPr>
            <w:tcW w:w="1106" w:type="dxa"/>
            <w:tcBorders>
              <w:top w:val="nil"/>
              <w:left w:val="nil"/>
              <w:bottom w:val="single" w:sz="4" w:space="0" w:color="auto"/>
              <w:right w:val="single" w:sz="4" w:space="0" w:color="auto"/>
            </w:tcBorders>
            <w:shd w:val="clear" w:color="000000" w:fill="9BC2E6"/>
            <w:noWrap/>
            <w:vAlign w:val="bottom"/>
            <w:hideMark/>
          </w:tcPr>
          <w:p w14:paraId="54026C48" w14:textId="77777777" w:rsidR="009D0FBA" w:rsidRPr="009D0FBA" w:rsidRDefault="009D0FBA" w:rsidP="009D0FBA">
            <w:pPr>
              <w:jc w:val="right"/>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52.94</w:t>
            </w:r>
          </w:p>
        </w:tc>
        <w:tc>
          <w:tcPr>
            <w:tcW w:w="694" w:type="dxa"/>
            <w:tcBorders>
              <w:top w:val="nil"/>
              <w:left w:val="nil"/>
              <w:bottom w:val="single" w:sz="4" w:space="0" w:color="auto"/>
              <w:right w:val="single" w:sz="4" w:space="0" w:color="auto"/>
            </w:tcBorders>
            <w:shd w:val="clear" w:color="000000" w:fill="9BC2E6"/>
            <w:noWrap/>
            <w:vAlign w:val="bottom"/>
            <w:hideMark/>
          </w:tcPr>
          <w:p w14:paraId="7C00E0D1" w14:textId="77777777" w:rsidR="009D0FBA" w:rsidRPr="009D0FBA" w:rsidRDefault="009D0FBA" w:rsidP="009D0FBA">
            <w:pPr>
              <w:jc w:val="right"/>
              <w:rPr>
                <w:rFonts w:ascii="Arial" w:eastAsia="Times New Roman" w:hAnsi="Arial" w:cs="Arial"/>
                <w:b/>
                <w:bCs/>
                <w:color w:val="000000"/>
                <w:sz w:val="20"/>
                <w:szCs w:val="20"/>
              </w:rPr>
            </w:pPr>
            <w:r w:rsidRPr="009D0FBA">
              <w:rPr>
                <w:rFonts w:ascii="Arial" w:eastAsia="Times New Roman" w:hAnsi="Arial" w:cs="Arial"/>
                <w:b/>
                <w:bCs/>
                <w:color w:val="000000"/>
                <w:sz w:val="20"/>
                <w:szCs w:val="20"/>
              </w:rPr>
              <w:t>100.00%</w:t>
            </w:r>
          </w:p>
        </w:tc>
      </w:tr>
    </w:tbl>
    <w:p w14:paraId="33076AA1" w14:textId="3A4D0980" w:rsidR="00A95DD7" w:rsidRDefault="00A95DD7"/>
    <w:p w14:paraId="3167F791" w14:textId="77777777" w:rsidR="00A95DD7" w:rsidRDefault="00A95DD7" w:rsidP="05BE835C">
      <w:pPr>
        <w:rPr>
          <w:rFonts w:asciiTheme="majorHAnsi" w:hAnsiTheme="majorHAnsi" w:cstheme="majorBidi"/>
          <w:b/>
          <w:bCs/>
          <w:sz w:val="40"/>
          <w:szCs w:val="40"/>
        </w:rPr>
      </w:pPr>
    </w:p>
    <w:p w14:paraId="1B2D37D8" w14:textId="7B3AA137" w:rsidR="00830F5A" w:rsidRDefault="51197A12" w:rsidP="3BDC28E7">
      <w:pPr>
        <w:rPr>
          <w:rFonts w:asciiTheme="majorHAnsi" w:hAnsiTheme="majorHAnsi" w:cstheme="majorBidi"/>
          <w:b/>
          <w:bCs/>
          <w:sz w:val="40"/>
          <w:szCs w:val="40"/>
        </w:rPr>
      </w:pPr>
      <w:r w:rsidRPr="3BDC28E7">
        <w:rPr>
          <w:rFonts w:asciiTheme="majorHAnsi" w:hAnsiTheme="majorHAnsi" w:cstheme="majorBidi"/>
          <w:b/>
          <w:bCs/>
          <w:sz w:val="40"/>
          <w:szCs w:val="40"/>
        </w:rPr>
        <w:t xml:space="preserve">High </w:t>
      </w:r>
      <w:r w:rsidR="7AFE03DD" w:rsidRPr="3BDC28E7">
        <w:rPr>
          <w:rFonts w:asciiTheme="majorHAnsi" w:hAnsiTheme="majorHAnsi" w:cstheme="majorBidi"/>
          <w:b/>
          <w:bCs/>
          <w:sz w:val="40"/>
          <w:szCs w:val="40"/>
        </w:rPr>
        <w:t xml:space="preserve">Diversity </w:t>
      </w:r>
      <w:r w:rsidR="002061A0" w:rsidRPr="3BDC28E7">
        <w:rPr>
          <w:rFonts w:asciiTheme="majorHAnsi" w:hAnsiTheme="majorHAnsi" w:cstheme="majorBidi"/>
          <w:b/>
          <w:bCs/>
          <w:sz w:val="40"/>
          <w:szCs w:val="40"/>
        </w:rPr>
        <w:t xml:space="preserve">Solar Array </w:t>
      </w:r>
      <w:r w:rsidR="6726A642" w:rsidRPr="3BDC28E7">
        <w:rPr>
          <w:rFonts w:asciiTheme="majorHAnsi" w:hAnsiTheme="majorHAnsi" w:cstheme="majorBidi"/>
          <w:b/>
          <w:bCs/>
          <w:sz w:val="40"/>
          <w:szCs w:val="40"/>
        </w:rPr>
        <w:t xml:space="preserve">Mesic Soil </w:t>
      </w:r>
      <w:r w:rsidR="002061A0" w:rsidRPr="3BDC28E7">
        <w:rPr>
          <w:rFonts w:asciiTheme="majorHAnsi" w:hAnsiTheme="majorHAnsi" w:cstheme="majorBidi"/>
          <w:b/>
          <w:bCs/>
          <w:sz w:val="40"/>
          <w:szCs w:val="40"/>
        </w:rPr>
        <w:t>South and West Seed</w:t>
      </w:r>
      <w:r w:rsidR="00830F5A" w:rsidRPr="3BDC28E7">
        <w:rPr>
          <w:rFonts w:asciiTheme="majorHAnsi" w:hAnsiTheme="majorHAnsi" w:cstheme="majorBidi"/>
          <w:b/>
          <w:bCs/>
          <w:sz w:val="40"/>
          <w:szCs w:val="40"/>
        </w:rPr>
        <w:t xml:space="preserve"> Mix Guidance </w:t>
      </w:r>
    </w:p>
    <w:p w14:paraId="30C4132A" w14:textId="77777777" w:rsidR="00830F5A" w:rsidRDefault="00830F5A" w:rsidP="00830F5A">
      <w:pPr>
        <w:rPr>
          <w:rFonts w:asciiTheme="majorHAnsi" w:hAnsiTheme="majorHAnsi" w:cstheme="majorHAnsi"/>
          <w:b/>
          <w:bCs/>
        </w:rPr>
      </w:pPr>
      <w:r>
        <w:rPr>
          <w:rFonts w:asciiTheme="majorHAnsi" w:hAnsiTheme="majorHAnsi" w:cstheme="majorHAnsi"/>
          <w:b/>
          <w:bCs/>
        </w:rPr>
        <w:t>(MIX IMAGE)</w:t>
      </w:r>
    </w:p>
    <w:p w14:paraId="6D2006D9" w14:textId="77777777" w:rsidR="00830F5A" w:rsidRDefault="00830F5A" w:rsidP="00830F5A">
      <w:pPr>
        <w:rPr>
          <w:b/>
          <w:bCs/>
        </w:rPr>
      </w:pPr>
    </w:p>
    <w:p w14:paraId="00B3B5D0" w14:textId="6C4B6198" w:rsidR="00830F5A" w:rsidRDefault="00830F5A" w:rsidP="00830F5A">
      <w:r w:rsidRPr="3BDC28E7">
        <w:rPr>
          <w:b/>
          <w:bCs/>
        </w:rPr>
        <w:t>Seed mix name:</w:t>
      </w:r>
      <w:r>
        <w:t xml:space="preserve"> </w:t>
      </w:r>
      <w:r w:rsidR="31F66593">
        <w:t xml:space="preserve">High </w:t>
      </w:r>
      <w:r w:rsidR="10C709AF">
        <w:t xml:space="preserve">Diversity </w:t>
      </w:r>
      <w:r w:rsidR="002061A0">
        <w:t xml:space="preserve">Solar Array </w:t>
      </w:r>
      <w:r w:rsidR="1871D149">
        <w:t xml:space="preserve">Mesic Soil </w:t>
      </w:r>
      <w:r w:rsidR="002061A0">
        <w:t>South and West</w:t>
      </w:r>
      <w:r w:rsidR="3EB8FECC">
        <w:t xml:space="preserve"> 39-241</w:t>
      </w:r>
      <w:r w:rsidR="00300928">
        <w:t xml:space="preserve"> (previously Mid Diversity Solar Array Mesic Soil South and West</w:t>
      </w:r>
      <w:r w:rsidR="007F4ED8">
        <w:t>)</w:t>
      </w:r>
    </w:p>
    <w:p w14:paraId="09528D29" w14:textId="59100802" w:rsidR="00830F5A" w:rsidRDefault="00830F5A" w:rsidP="00830F5A">
      <w:r>
        <w:rPr>
          <w:b/>
          <w:bCs/>
        </w:rPr>
        <w:t>Geographic area:</w:t>
      </w:r>
      <w:r>
        <w:t xml:space="preserve"> </w:t>
      </w:r>
      <w:r w:rsidR="00431A61">
        <w:t xml:space="preserve">Southern and Western </w:t>
      </w:r>
      <w:r>
        <w:t xml:space="preserve">Minnesota </w:t>
      </w:r>
    </w:p>
    <w:p w14:paraId="3EFE11E5" w14:textId="798CAEEB" w:rsidR="00830F5A" w:rsidRDefault="00830F5A" w:rsidP="00830F5A">
      <w:r>
        <w:rPr>
          <w:b/>
          <w:bCs/>
        </w:rPr>
        <w:lastRenderedPageBreak/>
        <w:t xml:space="preserve">Year of development: </w:t>
      </w:r>
      <w:r>
        <w:t>20</w:t>
      </w:r>
      <w:r w:rsidR="008F209F">
        <w:t>23</w:t>
      </w:r>
    </w:p>
    <w:p w14:paraId="340165C8" w14:textId="427649AB" w:rsidR="00830F5A" w:rsidRDefault="00830F5A" w:rsidP="00830F5A">
      <w:r>
        <w:rPr>
          <w:b/>
          <w:bCs/>
        </w:rPr>
        <w:t>Year/s of update:</w:t>
      </w:r>
      <w:r>
        <w:t xml:space="preserve">  202</w:t>
      </w:r>
      <w:r w:rsidR="008F209F">
        <w:t>3</w:t>
      </w:r>
    </w:p>
    <w:p w14:paraId="34AA74E3" w14:textId="77777777" w:rsidR="00830F5A" w:rsidRDefault="00830F5A" w:rsidP="00830F5A">
      <w:r>
        <w:rPr>
          <w:b/>
          <w:bCs/>
        </w:rPr>
        <w:t>Status</w:t>
      </w:r>
      <w:r>
        <w:t xml:space="preserve"> </w:t>
      </w:r>
      <w:r>
        <w:rPr>
          <w:b/>
          <w:bCs/>
        </w:rPr>
        <w:t>(</w:t>
      </w:r>
      <w:r>
        <w:rPr>
          <w:b/>
          <w:bCs/>
          <w:i/>
          <w:iCs/>
        </w:rPr>
        <w:t>Standard or Pilot mix</w:t>
      </w:r>
      <w:r>
        <w:rPr>
          <w:b/>
          <w:bCs/>
        </w:rPr>
        <w:t>):</w:t>
      </w:r>
      <w:r>
        <w:t xml:space="preserve"> Pilot</w:t>
      </w:r>
    </w:p>
    <w:p w14:paraId="0A52EA08" w14:textId="77777777" w:rsidR="00830F5A" w:rsidRDefault="00830F5A" w:rsidP="00830F5A">
      <w:pPr>
        <w:rPr>
          <w:b/>
          <w:bCs/>
        </w:rPr>
      </w:pPr>
      <w:r>
        <w:rPr>
          <w:b/>
          <w:bCs/>
        </w:rPr>
        <w:t xml:space="preserve">Primary and Secondary Functions: </w:t>
      </w:r>
    </w:p>
    <w:p w14:paraId="29E8E5E9" w14:textId="38871BF5" w:rsidR="00830F5A" w:rsidRDefault="00830F5A" w:rsidP="00830F5A">
      <w:r>
        <w:rPr>
          <w:rStyle w:val="IntenseEmphasis"/>
          <w:color w:val="2F5496" w:themeColor="accent1" w:themeShade="BF"/>
        </w:rPr>
        <w:t>Primary</w:t>
      </w:r>
      <w:r>
        <w:t xml:space="preserve"> –</w:t>
      </w:r>
      <w:r w:rsidR="0013359A">
        <w:t xml:space="preserve"> Establish habitat </w:t>
      </w:r>
      <w:r w:rsidR="00431A61">
        <w:t>under</w:t>
      </w:r>
      <w:r w:rsidR="0013359A">
        <w:t xml:space="preserve"> solar panels that provides </w:t>
      </w:r>
      <w:r>
        <w:t>habitat for pollinators and other invertebrates</w:t>
      </w:r>
      <w:r w:rsidR="0013359A">
        <w:t xml:space="preserve">, </w:t>
      </w:r>
      <w:r>
        <w:t>improve</w:t>
      </w:r>
      <w:r w:rsidR="0013359A">
        <w:t>s</w:t>
      </w:r>
      <w:r>
        <w:t xml:space="preserve"> habitat for beneficial soil organisms</w:t>
      </w:r>
      <w:r w:rsidR="0013359A">
        <w:t xml:space="preserve"> and provides cooling of solar </w:t>
      </w:r>
      <w:proofErr w:type="gramStart"/>
      <w:r w:rsidR="0013359A">
        <w:t>panels</w:t>
      </w:r>
      <w:proofErr w:type="gramEnd"/>
      <w:r>
        <w:t xml:space="preserve"> </w:t>
      </w:r>
    </w:p>
    <w:p w14:paraId="66C8ED8A" w14:textId="629475D8" w:rsidR="00830F5A" w:rsidRDefault="00830F5A" w:rsidP="00830F5A">
      <w:r>
        <w:rPr>
          <w:rStyle w:val="IntenseEmphasis"/>
          <w:color w:val="2F5496" w:themeColor="accent1" w:themeShade="BF"/>
        </w:rPr>
        <w:t>Secondary</w:t>
      </w:r>
      <w:r>
        <w:t xml:space="preserve"> – Carbon sequestration, </w:t>
      </w:r>
      <w:r w:rsidR="0013359A">
        <w:t xml:space="preserve">habitat for birds and other </w:t>
      </w:r>
      <w:r>
        <w:t xml:space="preserve">wildlife </w:t>
      </w:r>
    </w:p>
    <w:p w14:paraId="454DB56D" w14:textId="25EA90AC" w:rsidR="00830F5A" w:rsidRDefault="00830F5A" w:rsidP="05BE835C">
      <w:r w:rsidRPr="3BDC28E7">
        <w:rPr>
          <w:b/>
          <w:bCs/>
        </w:rPr>
        <w:t>Similar State Mixes:</w:t>
      </w:r>
      <w:r>
        <w:t xml:space="preserve"> </w:t>
      </w:r>
      <w:r w:rsidR="67956EEC" w:rsidRPr="3BDC28E7">
        <w:rPr>
          <w:rFonts w:eastAsia="Calibri"/>
          <w:color w:val="000000" w:themeColor="text1"/>
        </w:rPr>
        <w:t>39-641 Mid Diversity Solar Array Mesic Soil Northeast, 39-551 Mid Diversity Solar Array Moist Soil South and West, 29-221 Mid Diversity Solar Array Dry Soil South and West</w:t>
      </w:r>
    </w:p>
    <w:p w14:paraId="6DCBE036" w14:textId="77777777" w:rsidR="00510AF8" w:rsidRDefault="00510AF8" w:rsidP="00510AF8">
      <w:r>
        <w:rPr>
          <w:b/>
          <w:bCs/>
        </w:rPr>
        <w:t>Compatible NRCS Practice Standards:</w:t>
      </w:r>
      <w:r>
        <w:t xml:space="preserve"> Not designed to meet a </w:t>
      </w:r>
      <w:proofErr w:type="gramStart"/>
      <w:r>
        <w:t>standard</w:t>
      </w:r>
      <w:proofErr w:type="gramEnd"/>
    </w:p>
    <w:p w14:paraId="416579EB" w14:textId="77777777" w:rsidR="00510AF8" w:rsidRDefault="00510AF8" w:rsidP="00510AF8">
      <w:r>
        <w:rPr>
          <w:b/>
          <w:bCs/>
        </w:rPr>
        <w:t>Compatible Minnesota CRP Practices:</w:t>
      </w:r>
      <w:r>
        <w:t xml:space="preserve"> None</w:t>
      </w:r>
    </w:p>
    <w:p w14:paraId="6D03016A" w14:textId="77777777" w:rsidR="00510AF8" w:rsidRDefault="00510AF8" w:rsidP="00510AF8">
      <w:pPr>
        <w:spacing w:line="276" w:lineRule="auto"/>
        <w:rPr>
          <w:b/>
          <w:bCs/>
        </w:rPr>
      </w:pPr>
      <w:r>
        <w:rPr>
          <w:b/>
          <w:bCs/>
        </w:rPr>
        <w:t>Suitable Site Conditions</w:t>
      </w:r>
    </w:p>
    <w:p w14:paraId="275A1F91" w14:textId="77777777" w:rsidR="00510AF8" w:rsidRDefault="00510AF8" w:rsidP="00510AF8">
      <w:r>
        <w:t xml:space="preserve">Areas with mesic soils and full sun for at least 70% of the day where land is being converted from other uses such as lawn or agricultural fields like row crops or pasture.  </w:t>
      </w:r>
    </w:p>
    <w:p w14:paraId="4779D26B" w14:textId="77777777" w:rsidR="00510AF8" w:rsidRDefault="00510AF8" w:rsidP="00510AF8">
      <w:pPr>
        <w:spacing w:before="120" w:line="276" w:lineRule="auto"/>
        <w:rPr>
          <w:b/>
          <w:bCs/>
        </w:rPr>
      </w:pPr>
      <w:r>
        <w:rPr>
          <w:b/>
          <w:bCs/>
        </w:rPr>
        <w:t>Seed Mix Highlights</w:t>
      </w:r>
    </w:p>
    <w:p w14:paraId="278A3D6C" w14:textId="77777777" w:rsidR="00510AF8" w:rsidRDefault="00510AF8" w:rsidP="00510AF8">
      <w:pPr>
        <w:rPr>
          <w:bCs/>
        </w:rPr>
      </w:pPr>
      <w:r>
        <w:rPr>
          <w:bCs/>
        </w:rPr>
        <w:t>This mix has been designed for solar projects as a groundcover under panel as part of solar arrays to provide benefits to a wide range of wildlife species. The mix includes combinations of grasses, sedges, and forbs to provide year-round cover and forage to pollinators.</w:t>
      </w:r>
    </w:p>
    <w:p w14:paraId="7D6316F2" w14:textId="77777777" w:rsidR="00510AF8" w:rsidRDefault="00510AF8" w:rsidP="00510AF8">
      <w:pPr>
        <w:spacing w:before="120" w:line="276" w:lineRule="auto"/>
        <w:rPr>
          <w:b/>
          <w:bCs/>
        </w:rPr>
      </w:pPr>
      <w:r>
        <w:rPr>
          <w:b/>
          <w:bCs/>
        </w:rPr>
        <w:t>How to Customize the Mix for Unique Site Conditions and Goals</w:t>
      </w:r>
    </w:p>
    <w:p w14:paraId="5D744364" w14:textId="77777777" w:rsidR="00510AF8" w:rsidRDefault="00510AF8" w:rsidP="00510AF8">
      <w:r>
        <w:t xml:space="preserve">Site conditions such as sunlight, soils, hydrology, and existing vegetation along with functional goals for the project such as pollinator habitat, carbon sequestration, and benefit to grassland bird species can all inform species selection and the modification of seed mixes. See the Additional Species List, which can be used to increase diversity. Use the </w:t>
      </w:r>
      <w:hyperlink r:id="rId13" w:history="1">
        <w:r>
          <w:rPr>
            <w:rStyle w:val="Hyperlink"/>
          </w:rPr>
          <w:t>BWSR Seed Mix Substitution Table</w:t>
        </w:r>
      </w:hyperlink>
      <w:r>
        <w:t xml:space="preserve"> when species are not available from vendors, or the landowner has alternative goals for the site.</w:t>
      </w:r>
    </w:p>
    <w:p w14:paraId="504A285F" w14:textId="77777777" w:rsidR="00510AF8" w:rsidRDefault="00510AF8" w:rsidP="00510AF8">
      <w:pPr>
        <w:pStyle w:val="Default"/>
        <w:spacing w:before="120" w:line="276" w:lineRule="auto"/>
        <w:rPr>
          <w:b/>
          <w:bCs/>
          <w:sz w:val="22"/>
          <w:szCs w:val="22"/>
        </w:rPr>
      </w:pPr>
      <w:r>
        <w:rPr>
          <w:b/>
          <w:bCs/>
          <w:sz w:val="22"/>
          <w:szCs w:val="22"/>
        </w:rPr>
        <w:t>Site Preparation</w:t>
      </w:r>
    </w:p>
    <w:p w14:paraId="47FBA492" w14:textId="77777777" w:rsidR="00510AF8" w:rsidRDefault="00510AF8" w:rsidP="00510AF8">
      <w:pPr>
        <w:pStyle w:val="Default"/>
        <w:rPr>
          <w:sz w:val="22"/>
          <w:szCs w:val="22"/>
        </w:rPr>
      </w:pPr>
      <w:r>
        <w:rPr>
          <w:sz w:val="22"/>
          <w:szCs w:val="22"/>
        </w:rPr>
        <w:t xml:space="preserve">The primary goal of site preparation is to provide growing conditions that are good for native seed or plant establishment. Preparation methods may vary depending on site conditions. For example, sites with introduced perennial grasses such as smooth brome grass require different suppression techniques than sites that have been farmed with row crops. Site specific conditions should be considered when selecting site preparation techniques: current vegetation, potential desirable and undesirable species in the seed bank, previous pesticide use on site, and potential for soil erosion. Annual cover crops or row crops can be used in preparation for a native planting if they are not grown with persistent pesticides such as neonicotinoids or other long-lasting chemicals that may negatively impact pollinators or native vegetation establishment. For example, following soybean harvest, an un-tilled soybean field provides a good seedbed with potentially little plant residue for planting native prairie mixes. However, the chemical program used to grow soybeans could include herbicides that have a lengthy herbicide carryover. Make sure to research which chemicals were used in crop production to determine if there is a rotation restriction prior to planting. For fields where persistent chemicals have been used (including neonicotinoids or long-lived herbicides) it is recommended to plant a temporary cover crop for one or two seasons to allow the chemicals to break down in the soil. For more details on organic or pesticide-free site preparation techniques, see the Xerces Society guide,  </w:t>
      </w:r>
      <w:hyperlink r:id="rId14" w:history="1">
        <w:r>
          <w:rPr>
            <w:rStyle w:val="Hyperlink"/>
            <w:sz w:val="22"/>
            <w:szCs w:val="22"/>
          </w:rPr>
          <w:t>Organic Site Preparation for Wildflower Establishment</w:t>
        </w:r>
      </w:hyperlink>
      <w:r>
        <w:rPr>
          <w:sz w:val="22"/>
          <w:szCs w:val="22"/>
        </w:rPr>
        <w:t xml:space="preserve">. </w:t>
      </w:r>
    </w:p>
    <w:p w14:paraId="1BE549A3" w14:textId="77777777" w:rsidR="00510AF8" w:rsidRDefault="00510AF8" w:rsidP="00510AF8">
      <w:pPr>
        <w:autoSpaceDE w:val="0"/>
        <w:autoSpaceDN w:val="0"/>
        <w:adjustRightInd w:val="0"/>
        <w:spacing w:before="120"/>
        <w:rPr>
          <w:rFonts w:asciiTheme="minorHAnsi" w:hAnsiTheme="minorHAnsi" w:cstheme="minorHAnsi"/>
          <w:color w:val="000000"/>
        </w:rPr>
      </w:pPr>
      <w:r>
        <w:rPr>
          <w:rFonts w:asciiTheme="minorHAnsi" w:hAnsiTheme="minorHAnsi" w:cstheme="minorHAnsi"/>
          <w:b/>
          <w:bCs/>
          <w:i/>
          <w:iCs/>
          <w:color w:val="000000"/>
        </w:rPr>
        <w:t xml:space="preserve">Temporary Cover Crops </w:t>
      </w:r>
    </w:p>
    <w:p w14:paraId="4646A876" w14:textId="77777777" w:rsidR="00510AF8" w:rsidRDefault="00510AF8" w:rsidP="00510AF8">
      <w:r>
        <w:rPr>
          <w:color w:val="000000"/>
        </w:rPr>
        <w:t xml:space="preserve">Short-lived temporary cover crops help stabilize soils in preparation for planting native seed mixes. This option can stabilize soil, and limit compaction and control weed pressure before installing permanent </w:t>
      </w:r>
      <w:r>
        <w:rPr>
          <w:color w:val="000000"/>
        </w:rPr>
        <w:lastRenderedPageBreak/>
        <w:t xml:space="preserve">seed mixes. Cover crops such as oats (commonly used) should be mowed to 4-6 inches before seeds mature (or harvested upon maturity) to prevent re-seeding. </w:t>
      </w:r>
      <w:r w:rsidRPr="00BC3AD5">
        <w:rPr>
          <w:color w:val="000000"/>
        </w:rPr>
        <w:t>Residue</w:t>
      </w:r>
      <w:r>
        <w:rPr>
          <w:color w:val="000000"/>
        </w:rPr>
        <w:t xml:space="preserve"> from temporary cover crops should be minimized prior to seeding to increase seed to soil contact. It is common to seed into cover crop stubble as part of a fall dormant seeding.</w:t>
      </w:r>
    </w:p>
    <w:p w14:paraId="1FB9A431" w14:textId="77777777" w:rsidR="00510AF8" w:rsidRDefault="00510AF8" w:rsidP="00510AF8">
      <w:pPr>
        <w:spacing w:before="120"/>
        <w:rPr>
          <w:b/>
          <w:bCs/>
        </w:rPr>
      </w:pPr>
      <w:r>
        <w:rPr>
          <w:b/>
          <w:bCs/>
        </w:rPr>
        <w:t xml:space="preserve">Seedbed preparation </w:t>
      </w:r>
    </w:p>
    <w:p w14:paraId="2FDC9FCD" w14:textId="77777777" w:rsidR="00510AF8" w:rsidRDefault="00510AF8" w:rsidP="00510AF8">
      <w:pPr>
        <w:pStyle w:val="Default"/>
        <w:rPr>
          <w:sz w:val="22"/>
          <w:szCs w:val="22"/>
        </w:rPr>
      </w:pPr>
      <w:r>
        <w:rPr>
          <w:sz w:val="22"/>
          <w:szCs w:val="22"/>
        </w:rPr>
        <w:t xml:space="preserve">Methods used to prepare seedbeds vary depending on the type of seeding equipment used. If a traditional native seed drill will be used, a smooth, firm seedbed is required. Soybean fields usually are sufficiently prepared for a native seed drill. Sites that were recently tilled will require additional soil treatment such as light disking, field cultivation, harrowing and rolling to prepare a firm seedbed and prevent seed from being buried too deep. Native seeds have difficulty germinating if they are buried more than ¼” deep. Broadcast seeding can be done on any crop field. Fields that have been disked, should be </w:t>
      </w:r>
      <w:proofErr w:type="spellStart"/>
      <w:r>
        <w:rPr>
          <w:sz w:val="22"/>
          <w:szCs w:val="22"/>
        </w:rPr>
        <w:t>cultipacked</w:t>
      </w:r>
      <w:proofErr w:type="spellEnd"/>
      <w:r>
        <w:rPr>
          <w:sz w:val="22"/>
          <w:szCs w:val="22"/>
        </w:rPr>
        <w:t xml:space="preserve"> or allowed to settle before seeding. </w:t>
      </w:r>
    </w:p>
    <w:p w14:paraId="3DEB578F" w14:textId="77777777" w:rsidR="00510AF8" w:rsidRDefault="00510AF8" w:rsidP="00510AF8">
      <w:pPr>
        <w:pStyle w:val="Default"/>
      </w:pPr>
    </w:p>
    <w:p w14:paraId="088AEBDC" w14:textId="77777777" w:rsidR="00510AF8" w:rsidRDefault="00510AF8" w:rsidP="00510AF8">
      <w:pPr>
        <w:spacing w:before="120"/>
        <w:rPr>
          <w:b/>
          <w:bCs/>
        </w:rPr>
      </w:pPr>
      <w:r>
        <w:rPr>
          <w:b/>
          <w:bCs/>
        </w:rPr>
        <w:t>Seeding Methods</w:t>
      </w:r>
    </w:p>
    <w:p w14:paraId="54870168" w14:textId="6B75AB52" w:rsidR="00510AF8" w:rsidRDefault="00510AF8" w:rsidP="00510AF8">
      <w:r>
        <w:t xml:space="preserve">A variety of seeding equipment is used for upland </w:t>
      </w:r>
      <w:r w:rsidRPr="00BC3AD5">
        <w:t xml:space="preserve">native solar mixes </w:t>
      </w:r>
      <w:r>
        <w:t xml:space="preserve">including broadcast seeders, no-till native seed drills, Brillion seeders and Trillion seeders. Specialized native seed drills can handle a wide variety of seed (fluffy, smooth, </w:t>
      </w:r>
      <w:proofErr w:type="gramStart"/>
      <w:r>
        <w:t>large</w:t>
      </w:r>
      <w:proofErr w:type="gramEnd"/>
      <w:r>
        <w:t xml:space="preserve"> and small) and low seeding rates. Conventional grain drills are not capable of handling diverse seed sizes and are not recommended. Broadcast seeding is common for planting high or mid-diversity mixes. Broadcast seeding equipment should be used that is designed to spread mixes with different sized seeds (</w:t>
      </w:r>
      <w:r w:rsidR="00D9597D">
        <w:t>e.g.,</w:t>
      </w:r>
      <w:r>
        <w:t xml:space="preserve"> Vicon Seeders). For solar projects it is common to use either a drill or broadcast seeder between panels and broadcast seeding under and around panels.</w:t>
      </w:r>
    </w:p>
    <w:p w14:paraId="5A4DCC3F" w14:textId="77777777" w:rsidR="00510AF8" w:rsidRDefault="00510AF8" w:rsidP="00510AF8"/>
    <w:p w14:paraId="75A16214" w14:textId="77777777" w:rsidR="00510AF8" w:rsidRDefault="00510AF8" w:rsidP="00510AF8">
      <w:pPr>
        <w:spacing w:before="120" w:line="276" w:lineRule="auto"/>
        <w:rPr>
          <w:b/>
          <w:bCs/>
        </w:rPr>
      </w:pPr>
      <w:r>
        <w:rPr>
          <w:b/>
          <w:bCs/>
        </w:rPr>
        <w:t xml:space="preserve">Seeding Dates </w:t>
      </w:r>
    </w:p>
    <w:p w14:paraId="4B3C8743" w14:textId="77777777" w:rsidR="00510AF8" w:rsidRDefault="00510AF8" w:rsidP="00510AF8">
      <w:pPr>
        <w:rPr>
          <w:color w:val="000000"/>
        </w:rPr>
      </w:pPr>
      <w:r>
        <w:rPr>
          <w:color w:val="000000"/>
        </w:rPr>
        <w:t xml:space="preserve">Forb-dominated solar high and mid-diversity seed mixes, including this mix, can be installed in the spring or fall. Fall dormant plantings are preferred and allow seeds to naturally stratify and settle into the soil through periods of freezing and thawing over the winter. Spring seedings should be done on or around May 1-July 1 when soil temperatures are at least 60 degrees Fahrenheit or higher. Fall seeding should occur when soil temperatures are consistently below 50 degrees Fahrenheit (usually around October 15 in the northern half of the state and November 1 in the southern half of the state). Fall dormant seedings reduce weed pressure during the first year of growth because native cool-season grasses and forbs germinate earlier and compete with weed species right away. Frost seedings are also an option if the snow cover is shallow, ice-free, and winds are calm. For a frost seeding, seeding rates may need to be increased by 25-50 percent due to lower germination rates and loss of seed consumed by wildlife. </w:t>
      </w:r>
    </w:p>
    <w:p w14:paraId="6C1DE1B0" w14:textId="77777777" w:rsidR="00510AF8" w:rsidRDefault="00510AF8" w:rsidP="00510AF8">
      <w:pPr>
        <w:spacing w:before="120"/>
        <w:rPr>
          <w:b/>
          <w:bCs/>
        </w:rPr>
      </w:pPr>
    </w:p>
    <w:p w14:paraId="516820A9" w14:textId="77777777" w:rsidR="00510AF8" w:rsidRDefault="00510AF8" w:rsidP="00510AF8">
      <w:pPr>
        <w:spacing w:before="120"/>
        <w:rPr>
          <w:b/>
          <w:bCs/>
        </w:rPr>
      </w:pPr>
    </w:p>
    <w:p w14:paraId="22B9D9D3" w14:textId="77777777" w:rsidR="00510AF8" w:rsidRDefault="00510AF8" w:rsidP="00510AF8">
      <w:pPr>
        <w:spacing w:before="120"/>
        <w:rPr>
          <w:b/>
          <w:bCs/>
        </w:rPr>
      </w:pPr>
    </w:p>
    <w:p w14:paraId="4EE632BE" w14:textId="77777777" w:rsidR="00510AF8" w:rsidRDefault="00510AF8" w:rsidP="00510AF8">
      <w:pPr>
        <w:spacing w:before="120"/>
        <w:rPr>
          <w:b/>
          <w:bCs/>
        </w:rPr>
      </w:pPr>
      <w:r>
        <w:rPr>
          <w:b/>
          <w:bCs/>
        </w:rPr>
        <w:t xml:space="preserve">Management Methods </w:t>
      </w:r>
    </w:p>
    <w:p w14:paraId="70357A9D" w14:textId="77777777" w:rsidR="00510AF8" w:rsidRDefault="00510AF8" w:rsidP="00510AF8">
      <w:pPr>
        <w:spacing w:before="120"/>
        <w:rPr>
          <w:rFonts w:asciiTheme="minorHAnsi" w:hAnsiTheme="minorHAnsi" w:cstheme="minorHAnsi"/>
          <w:i/>
          <w:iCs/>
          <w:color w:val="2F5496" w:themeColor="accent1" w:themeShade="BF"/>
          <w:sz w:val="23"/>
          <w:szCs w:val="23"/>
        </w:rPr>
      </w:pPr>
      <w:r>
        <w:rPr>
          <w:rFonts w:asciiTheme="minorHAnsi" w:hAnsiTheme="minorHAnsi" w:cstheme="minorHAnsi"/>
          <w:i/>
          <w:iCs/>
          <w:color w:val="2F5496" w:themeColor="accent1" w:themeShade="BF"/>
          <w:sz w:val="23"/>
          <w:szCs w:val="23"/>
        </w:rPr>
        <w:t>Establishment Mowing and Grazing</w:t>
      </w:r>
      <w:r>
        <w:rPr>
          <w:rFonts w:asciiTheme="minorHAnsi" w:hAnsiTheme="minorHAnsi" w:cstheme="minorHAnsi"/>
          <w:i/>
          <w:iCs/>
          <w:sz w:val="23"/>
          <w:szCs w:val="23"/>
        </w:rPr>
        <w:t>–</w:t>
      </w:r>
      <w:r>
        <w:rPr>
          <w:rFonts w:asciiTheme="minorHAnsi" w:hAnsiTheme="minorHAnsi" w:cstheme="minorHAnsi"/>
          <w:i/>
          <w:iCs/>
          <w:color w:val="2F5496" w:themeColor="accent1" w:themeShade="BF"/>
          <w:sz w:val="23"/>
          <w:szCs w:val="23"/>
        </w:rPr>
        <w:t xml:space="preserve"> </w:t>
      </w:r>
      <w:r>
        <w:t xml:space="preserve">Mowing or grazing can be an important step during the establishment of native seed mixes (first three to five years). The </w:t>
      </w:r>
      <w:bookmarkStart w:id="1" w:name="_Hlk130807161"/>
      <w:r>
        <w:t>frequency and duration of mowing will vary depending on the local climate and weed pressure at the site</w:t>
      </w:r>
      <w:bookmarkEnd w:id="1"/>
      <w:r>
        <w:t xml:space="preserve">. Expect to mow or graze at least twice during the first season and once during the second season to decrease weed competition and to provide sufficient sunlight for seedlings. Mowing or grazing should be conducted before weeds mature and seed out. It is important that mowed vegetation does not smother the planting; therefore, very productive sites may need to be mowed more often in the first year to reduce the mulching effect. Flail mowers are </w:t>
      </w:r>
      <w:r>
        <w:lastRenderedPageBreak/>
        <w:t xml:space="preserve">preferred because they cut the vegetation into smaller pieces and doesn’t leave a thick layer of thatch. Vegetation should be mowed or grazed to between four and six inches before seed is allowed to set (usually as weeds reach knee-height or 12-18 inches). Mower height should be raised as native plants establish, to avoid cutting buds or flowers. Mowing or grazing new plantings too short can reduce beneficial outcomes of a successful planting. Some grassland managers see native planting establishment success without mowing, but this varies depending on site conditions (such as soil productivity) and weed pressure. </w:t>
      </w:r>
      <w:bookmarkStart w:id="2" w:name="_Hlk130806693"/>
      <w:r>
        <w:t xml:space="preserve">If mowing large sections of the planting, consider waiting until after July 15 to protect game and songbird nesting habitat. Mowing after October 1 assists Monarch butterflies by maintaining flower resources as they migrate </w:t>
      </w:r>
      <w:proofErr w:type="gramStart"/>
      <w:r>
        <w:t>south</w:t>
      </w:r>
      <w:bookmarkEnd w:id="2"/>
      <w:proofErr w:type="gramEnd"/>
    </w:p>
    <w:p w14:paraId="4EADBFD6" w14:textId="77777777" w:rsidR="00510AF8" w:rsidRDefault="00510AF8" w:rsidP="00510AF8">
      <w:pPr>
        <w:pStyle w:val="Default"/>
        <w:spacing w:before="120"/>
        <w:rPr>
          <w:rFonts w:asciiTheme="minorHAnsi" w:hAnsiTheme="minorHAnsi" w:cstheme="minorHAnsi"/>
          <w:color w:val="2F5496" w:themeColor="accent1" w:themeShade="BF"/>
          <w:sz w:val="23"/>
          <w:szCs w:val="23"/>
        </w:rPr>
      </w:pPr>
      <w:r>
        <w:rPr>
          <w:rFonts w:asciiTheme="minorHAnsi" w:hAnsiTheme="minorHAnsi" w:cstheme="minorHAnsi"/>
          <w:i/>
          <w:iCs/>
          <w:color w:val="2F5496" w:themeColor="accent1" w:themeShade="BF"/>
          <w:sz w:val="23"/>
          <w:szCs w:val="23"/>
        </w:rPr>
        <w:t xml:space="preserve">Spot Mowing </w:t>
      </w:r>
      <w:r>
        <w:rPr>
          <w:rFonts w:asciiTheme="minorHAnsi" w:hAnsiTheme="minorHAnsi" w:cstheme="minorHAnsi"/>
          <w:i/>
          <w:iCs/>
          <w:color w:val="auto"/>
          <w:sz w:val="23"/>
          <w:szCs w:val="23"/>
        </w:rPr>
        <w:t>–</w:t>
      </w:r>
      <w:r>
        <w:rPr>
          <w:rFonts w:asciiTheme="minorHAnsi" w:hAnsiTheme="minorHAnsi" w:cstheme="minorHAnsi"/>
          <w:i/>
          <w:iCs/>
          <w:color w:val="2F5496" w:themeColor="accent1" w:themeShade="BF"/>
          <w:sz w:val="23"/>
          <w:szCs w:val="23"/>
        </w:rPr>
        <w:t xml:space="preserve"> </w:t>
      </w:r>
      <w:r>
        <w:t xml:space="preserve">As the native planting is establishing, it may be beneficial to spot mow or weed trim areas with invasive or noxious plants. Spot-mowing should be done at a raised height between 4-6 inches to target invasive plants and to avoid damaging nearby native species. Spot mowing to minimize the abundance and frequency of invasive or noxious weeds can be done every year to increase diversity and functionality of the planting. A list of noxious/invasive weed species that should be addressed can be viewed at the </w:t>
      </w:r>
      <w:hyperlink r:id="rId15" w:anchor=":~:text=State%20Prohibited%20Noxious%20Weeds%20%20%20%20,%20%202012%20%2012%20more%20rows%20" w:history="1">
        <w:r>
          <w:rPr>
            <w:rStyle w:val="Hyperlink"/>
          </w:rPr>
          <w:t>Minnesota Department of Agriculture’s website</w:t>
        </w:r>
      </w:hyperlink>
      <w:r>
        <w:t xml:space="preserve">. </w:t>
      </w:r>
    </w:p>
    <w:p w14:paraId="7AA556AC" w14:textId="78C203AA" w:rsidR="00510AF8" w:rsidRDefault="00510AF8" w:rsidP="00510AF8">
      <w:pPr>
        <w:pStyle w:val="Default"/>
        <w:spacing w:before="120"/>
        <w:rPr>
          <w:rFonts w:cstheme="minorHAnsi"/>
          <w:color w:val="212121"/>
          <w:sz w:val="22"/>
          <w:szCs w:val="22"/>
          <w:shd w:val="clear" w:color="auto" w:fill="FFFFFF"/>
        </w:rPr>
      </w:pPr>
      <w:r w:rsidRPr="14F428D6">
        <w:rPr>
          <w:rFonts w:asciiTheme="minorHAnsi" w:hAnsiTheme="minorHAnsi" w:cstheme="minorBidi"/>
          <w:i/>
          <w:iCs/>
          <w:color w:val="2F5496" w:themeColor="accent1" w:themeShade="BF"/>
          <w:sz w:val="23"/>
          <w:szCs w:val="23"/>
        </w:rPr>
        <w:t xml:space="preserve">Spot Management of Weeds </w:t>
      </w:r>
      <w:r w:rsidRPr="14F428D6">
        <w:rPr>
          <w:rFonts w:asciiTheme="minorHAnsi" w:hAnsiTheme="minorHAnsi" w:cstheme="minorBidi"/>
          <w:color w:val="auto"/>
          <w:sz w:val="23"/>
          <w:szCs w:val="23"/>
        </w:rPr>
        <w:t xml:space="preserve">– </w:t>
      </w:r>
      <w:bookmarkStart w:id="3" w:name="_Hlk130810319"/>
      <w:r>
        <w:rPr>
          <w:sz w:val="22"/>
          <w:szCs w:val="22"/>
        </w:rPr>
        <w:t xml:space="preserve">Some persistent perennial weeds may require digging, pulling, girdling, smothering or spot treatment with herbicides for sufficient control. Some persistent perennial plants </w:t>
      </w:r>
      <w:proofErr w:type="gramStart"/>
      <w:r>
        <w:rPr>
          <w:sz w:val="22"/>
          <w:szCs w:val="22"/>
        </w:rPr>
        <w:t>include:</w:t>
      </w:r>
      <w:proofErr w:type="gramEnd"/>
      <w:r>
        <w:rPr>
          <w:sz w:val="22"/>
          <w:szCs w:val="22"/>
        </w:rPr>
        <w:t xml:space="preserve"> reed canary grass, smooth brome, quack grass, purple loosestrife, Canada thistle, Kentucky bluegrass, crown vetch, birds-foot trefoil, and woody species, such as box elder, common buckthorn, Siberian elm, and Tartarian honeysuckle. Methods should be conducted carefully during the early establishment phase, to avoid adverse impacts to native plant seedlings. Herbicides should only be used on persistent perennial weeds; most other weeds will be excluded or occur in low frequencies and abundance over time as the native planting matures. </w:t>
      </w:r>
      <w:r w:rsidRPr="14F428D6">
        <w:rPr>
          <w:rFonts w:cstheme="minorBidi"/>
          <w:color w:val="212121"/>
          <w:sz w:val="22"/>
          <w:szCs w:val="22"/>
          <w:shd w:val="clear" w:color="auto" w:fill="FFFFFF"/>
        </w:rPr>
        <w:t xml:space="preserve">Herbicide use should be species specific, sprayed in a discriminating and targeted way (minimizing non-target organisms), and applied according to rates specified on the label. </w:t>
      </w:r>
      <w:r w:rsidRPr="00C62524">
        <w:t xml:space="preserve">A licensed applicator </w:t>
      </w:r>
      <w:r>
        <w:t>may be needed</w:t>
      </w:r>
      <w:r w:rsidRPr="00C62524">
        <w:t xml:space="preserve"> to apply herbicide</w:t>
      </w:r>
      <w:r>
        <w:t>(s)</w:t>
      </w:r>
      <w:r w:rsidRPr="00C62524">
        <w:t>.</w:t>
      </w:r>
      <w:r>
        <w:t xml:space="preserve"> </w:t>
      </w:r>
      <w:r w:rsidRPr="14F428D6">
        <w:rPr>
          <w:rFonts w:cstheme="minorBidi"/>
          <w:color w:val="212121"/>
          <w:sz w:val="22"/>
          <w:szCs w:val="22"/>
          <w:shd w:val="clear" w:color="auto" w:fill="FFFFFF"/>
        </w:rPr>
        <w:t>All pesticides should be selected and applied in a manner that minimizes risks to human health, beneficial and non</w:t>
      </w:r>
      <w:r>
        <w:rPr>
          <w:rFonts w:cstheme="minorBidi"/>
          <w:color w:val="212121"/>
          <w:sz w:val="22"/>
          <w:szCs w:val="22"/>
          <w:shd w:val="clear" w:color="auto" w:fill="FFFFFF"/>
        </w:rPr>
        <w:t>-</w:t>
      </w:r>
      <w:r w:rsidRPr="14F428D6">
        <w:rPr>
          <w:rFonts w:cstheme="minorBidi"/>
          <w:color w:val="212121"/>
          <w:sz w:val="22"/>
          <w:szCs w:val="22"/>
          <w:shd w:val="clear" w:color="auto" w:fill="FFFFFF"/>
        </w:rPr>
        <w:t>target organisms, and the environment.</w:t>
      </w:r>
      <w:r w:rsidRPr="00E36E17">
        <w:t xml:space="preserve"> </w:t>
      </w:r>
      <w:r w:rsidRPr="00C62524">
        <w:t>Plantings that include both grasses and forbs s</w:t>
      </w:r>
      <w:r>
        <w:t xml:space="preserve">hould never be broadcast-sprayed. </w:t>
      </w:r>
      <w:r w:rsidRPr="14F428D6">
        <w:rPr>
          <w:rFonts w:cstheme="minorBidi"/>
          <w:color w:val="212121"/>
          <w:sz w:val="22"/>
          <w:szCs w:val="22"/>
          <w:shd w:val="clear" w:color="auto" w:fill="FFFFFF"/>
        </w:rPr>
        <w:t xml:space="preserve"> </w:t>
      </w:r>
      <w:r w:rsidRPr="14F428D6">
        <w:rPr>
          <w:color w:val="000000" w:themeColor="text1"/>
          <w:sz w:val="22"/>
          <w:szCs w:val="22"/>
        </w:rPr>
        <w:t>Mini</w:t>
      </w:r>
      <w:r>
        <w:rPr>
          <w:color w:val="000000" w:themeColor="text1"/>
          <w:sz w:val="22"/>
          <w:szCs w:val="22"/>
        </w:rPr>
        <w:t>mal</w:t>
      </w:r>
      <w:r w:rsidRPr="14F428D6">
        <w:rPr>
          <w:color w:val="000000" w:themeColor="text1"/>
          <w:sz w:val="22"/>
          <w:szCs w:val="22"/>
        </w:rPr>
        <w:t xml:space="preserve"> herbicide</w:t>
      </w:r>
      <w:r>
        <w:rPr>
          <w:color w:val="000000" w:themeColor="text1"/>
          <w:sz w:val="22"/>
          <w:szCs w:val="22"/>
        </w:rPr>
        <w:t xml:space="preserve"> use is recommended the first year of planting. Targeted spot Spraying can begin in</w:t>
      </w:r>
      <w:r w:rsidRPr="14F428D6">
        <w:rPr>
          <w:color w:val="000000" w:themeColor="text1"/>
          <w:sz w:val="22"/>
          <w:szCs w:val="22"/>
        </w:rPr>
        <w:t xml:space="preserve"> year </w:t>
      </w:r>
      <w:r w:rsidR="00D9597D" w:rsidRPr="14F428D6">
        <w:rPr>
          <w:color w:val="000000" w:themeColor="text1"/>
          <w:sz w:val="22"/>
          <w:szCs w:val="22"/>
        </w:rPr>
        <w:t>2</w:t>
      </w:r>
      <w:r w:rsidR="00D9597D">
        <w:rPr>
          <w:color w:val="000000" w:themeColor="text1"/>
          <w:sz w:val="22"/>
          <w:szCs w:val="22"/>
        </w:rPr>
        <w:t xml:space="preserve"> unless</w:t>
      </w:r>
      <w:r w:rsidRPr="14F428D6">
        <w:rPr>
          <w:color w:val="000000" w:themeColor="text1"/>
          <w:sz w:val="22"/>
          <w:szCs w:val="22"/>
        </w:rPr>
        <w:t xml:space="preserve"> significant problem weeds show up.</w:t>
      </w:r>
      <w:r>
        <w:rPr>
          <w:rFonts w:cstheme="minorHAnsi"/>
          <w:color w:val="212121"/>
          <w:sz w:val="22"/>
          <w:szCs w:val="22"/>
          <w:shd w:val="clear" w:color="auto" w:fill="FFFFFF"/>
        </w:rPr>
        <w:softHyphen/>
      </w:r>
      <w:r>
        <w:rPr>
          <w:rFonts w:cstheme="minorHAnsi"/>
          <w:color w:val="212121"/>
          <w:sz w:val="22"/>
          <w:szCs w:val="22"/>
          <w:shd w:val="clear" w:color="auto" w:fill="FFFFFF"/>
        </w:rPr>
        <w:softHyphen/>
      </w:r>
      <w:r>
        <w:rPr>
          <w:rFonts w:cstheme="minorHAnsi"/>
          <w:color w:val="212121"/>
          <w:sz w:val="22"/>
          <w:szCs w:val="22"/>
          <w:shd w:val="clear" w:color="auto" w:fill="FFFFFF"/>
        </w:rPr>
        <w:softHyphen/>
      </w:r>
      <w:bookmarkEnd w:id="3"/>
    </w:p>
    <w:p w14:paraId="33FAEDD6" w14:textId="77777777" w:rsidR="00510AF8" w:rsidRDefault="00510AF8" w:rsidP="00510AF8">
      <w:pPr>
        <w:pStyle w:val="Default"/>
        <w:spacing w:before="120"/>
        <w:rPr>
          <w:rFonts w:cstheme="minorHAnsi"/>
          <w:color w:val="212121"/>
          <w:sz w:val="22"/>
          <w:szCs w:val="22"/>
          <w:shd w:val="clear" w:color="auto" w:fill="FFFFFF"/>
        </w:rPr>
      </w:pPr>
    </w:p>
    <w:p w14:paraId="3C82ED34" w14:textId="77777777" w:rsidR="00510AF8" w:rsidRPr="00C62524" w:rsidRDefault="00A3589F" w:rsidP="00510AF8">
      <w:pPr>
        <w:rPr>
          <w:szCs w:val="24"/>
        </w:rPr>
      </w:pPr>
      <w:hyperlink r:id="rId16" w:history="1">
        <w:r w:rsidR="00510AF8" w:rsidRPr="007E1F7C">
          <w:rPr>
            <w:rStyle w:val="Hyperlink"/>
            <w:szCs w:val="24"/>
          </w:rPr>
          <w:t>The Midwest Invasive Plant Control Database</w:t>
        </w:r>
      </w:hyperlink>
      <w:r w:rsidR="00510AF8" w:rsidRPr="00C62524">
        <w:t xml:space="preserve"> provides a compilation of control methods for many common invasive plants.</w:t>
      </w:r>
      <w:r w:rsidR="00510AF8">
        <w:t xml:space="preserve"> Some noxious or invasive weeds do not respond well to spraying so managers are encouraged to consider the method that will do the least amount of harm to overall planting health.</w:t>
      </w:r>
      <w:r w:rsidR="00510AF8" w:rsidRPr="003A24B1">
        <w:rPr>
          <w:color w:val="000000" w:themeColor="text1"/>
        </w:rPr>
        <w:t xml:space="preserve"> </w:t>
      </w:r>
    </w:p>
    <w:p w14:paraId="05D2C227" w14:textId="77777777" w:rsidR="00510AF8" w:rsidRDefault="00510AF8" w:rsidP="00510AF8">
      <w:r>
        <w:t>T</w:t>
      </w:r>
      <w:r w:rsidRPr="00C62524">
        <w:t xml:space="preserve">o prevent inadvertent </w:t>
      </w:r>
      <w:r>
        <w:t xml:space="preserve">aerial </w:t>
      </w:r>
      <w:r w:rsidRPr="00C62524">
        <w:t>spraying of the prairie, it may be advantageous to be placed o</w:t>
      </w:r>
      <w:r>
        <w:t xml:space="preserve">n the do not spray list at the local farm co-op. </w:t>
      </w:r>
      <w:r w:rsidRPr="00C62524">
        <w:t>This will help prevent d</w:t>
      </w:r>
      <w:r>
        <w:t>amage to your prairie planting.</w:t>
      </w:r>
    </w:p>
    <w:p w14:paraId="016F18FB" w14:textId="77777777" w:rsidR="00510AF8" w:rsidRDefault="00510AF8" w:rsidP="00510AF8"/>
    <w:p w14:paraId="1E1DFB40" w14:textId="77777777" w:rsidR="00510AF8" w:rsidRDefault="00510AF8" w:rsidP="00510AF8">
      <w:pPr>
        <w:spacing w:before="120"/>
        <w:rPr>
          <w:b/>
          <w:bCs/>
        </w:rPr>
      </w:pPr>
      <w:r>
        <w:rPr>
          <w:b/>
          <w:bCs/>
        </w:rPr>
        <w:t>What to Expect in Year 1</w:t>
      </w:r>
    </w:p>
    <w:p w14:paraId="7F3C8437" w14:textId="77777777" w:rsidR="00510AF8" w:rsidRDefault="00510AF8" w:rsidP="00510AF8">
      <w:r>
        <w:t xml:space="preserve">During the first year of establishment, many perennial native grasses, </w:t>
      </w:r>
      <w:proofErr w:type="gramStart"/>
      <w:r>
        <w:t>sedges</w:t>
      </w:r>
      <w:proofErr w:type="gramEnd"/>
      <w:r>
        <w:t xml:space="preserve"> and flowers will remain about one to three inches tall depending on site conditions. Most of their growth occurs below ground as they develop extensive root systems. Annual species will flower and grow to maturity. Mowing annual agricultural weeds (foxtail, barnyard grass, ragweed etc.) reduces competition, allowing native plant seedlings to receive sufficient water and sunlight. The planting may have a somewhat weedy appearance in the first year (see establishment mowing paragraph above). </w:t>
      </w:r>
    </w:p>
    <w:p w14:paraId="4FA91FA3" w14:textId="77777777" w:rsidR="00510AF8" w:rsidRDefault="00510AF8" w:rsidP="00510AF8">
      <w:r>
        <w:t>(IMAGE)</w:t>
      </w:r>
    </w:p>
    <w:p w14:paraId="262F96CB" w14:textId="77777777" w:rsidR="00510AF8" w:rsidRDefault="00510AF8" w:rsidP="00510AF8">
      <w:pPr>
        <w:spacing w:before="120"/>
        <w:rPr>
          <w:b/>
          <w:bCs/>
        </w:rPr>
      </w:pPr>
      <w:r>
        <w:rPr>
          <w:b/>
          <w:bCs/>
        </w:rPr>
        <w:lastRenderedPageBreak/>
        <w:t>What to Expect in Year 2</w:t>
      </w:r>
    </w:p>
    <w:p w14:paraId="0AB8B6C7" w14:textId="77777777" w:rsidR="00510AF8" w:rsidRDefault="00510AF8" w:rsidP="00510AF8">
      <w:r>
        <w:t xml:space="preserve">During year two, some of the perennial native grasses, sedges and flowers may reach their mature height and some may even flower. Depending on when the seeding occurred (spring or dormant), there may be many first-year native seedlings germinating alongside established native plants. Mowing or grazing may still play a key role in managing weeds and promoting native seedling growth. </w:t>
      </w:r>
    </w:p>
    <w:p w14:paraId="6B489947" w14:textId="77777777" w:rsidR="00510AF8" w:rsidRDefault="00510AF8" w:rsidP="00510AF8">
      <w:r>
        <w:t>(IMAGE)</w:t>
      </w:r>
    </w:p>
    <w:p w14:paraId="5B2D2058" w14:textId="77777777" w:rsidR="00510AF8" w:rsidRDefault="00510AF8" w:rsidP="00510AF8">
      <w:pPr>
        <w:spacing w:before="120"/>
        <w:rPr>
          <w:b/>
          <w:bCs/>
        </w:rPr>
      </w:pPr>
      <w:r>
        <w:rPr>
          <w:b/>
          <w:bCs/>
        </w:rPr>
        <w:t>What to Expect in Year 3 and Beyond</w:t>
      </w:r>
    </w:p>
    <w:p w14:paraId="6D3EAB01" w14:textId="77777777" w:rsidR="00510AF8" w:rsidRDefault="00510AF8" w:rsidP="00510AF8">
      <w:r>
        <w:t xml:space="preserve">By the end of year three many of the native plants should start flowering. There may be some long-lived species that are slow to establish and may not show up for several years. </w:t>
      </w:r>
    </w:p>
    <w:p w14:paraId="183339CE" w14:textId="77777777" w:rsidR="00510AF8" w:rsidRDefault="00510AF8" w:rsidP="00510AF8">
      <w:pPr>
        <w:spacing w:before="120"/>
        <w:rPr>
          <w:b/>
          <w:bCs/>
        </w:rPr>
      </w:pPr>
      <w:r>
        <w:rPr>
          <w:b/>
          <w:bCs/>
        </w:rPr>
        <w:t>Problem Solving</w:t>
      </w:r>
    </w:p>
    <w:p w14:paraId="003D51CE" w14:textId="03D6540F" w:rsidR="00510AF8" w:rsidRDefault="00510AF8" w:rsidP="00510AF8">
      <w:pPr>
        <w:spacing w:before="120"/>
      </w:pPr>
      <w:r>
        <w:rPr>
          <w:rStyle w:val="IntenseEmphasis"/>
          <w:color w:val="2F5496" w:themeColor="accent1" w:themeShade="BF"/>
        </w:rPr>
        <w:t>Poor Establishment After Year 1</w:t>
      </w:r>
      <w:r>
        <w:rPr>
          <w:color w:val="2F5496" w:themeColor="accent1" w:themeShade="BF"/>
        </w:rPr>
        <w:t xml:space="preserve"> </w:t>
      </w:r>
      <w:r>
        <w:t xml:space="preserve">– It is often difficult to determine if seeding is successful during the first year, as establishment may vary depending on weather conditions, site preparation, and site conditions.  Species germinate and establish at different </w:t>
      </w:r>
      <w:r w:rsidR="00D9597D">
        <w:t>rates,</w:t>
      </w:r>
      <w:r>
        <w:t xml:space="preserve"> and some may be slow to establish. Seed establishment is often delayed during drought conditions. Corrective actions should generally not occur until year 2. Looks for species such as Black-Eyed Susan seedlings in year 1 for confirmation the seeding was a success.</w:t>
      </w:r>
    </w:p>
    <w:p w14:paraId="4B7807A1" w14:textId="77777777" w:rsidR="00510AF8" w:rsidRDefault="00510AF8" w:rsidP="00510AF8">
      <w:pPr>
        <w:spacing w:before="120"/>
      </w:pPr>
      <w:r>
        <w:rPr>
          <w:rStyle w:val="IntenseEmphasis"/>
          <w:color w:val="2F5496" w:themeColor="accent1" w:themeShade="BF"/>
        </w:rPr>
        <w:t>Poor Establishment After Year 2</w:t>
      </w:r>
      <w:r>
        <w:rPr>
          <w:color w:val="2F5496" w:themeColor="accent1" w:themeShade="BF"/>
        </w:rPr>
        <w:t xml:space="preserve"> </w:t>
      </w:r>
      <w:r>
        <w:t xml:space="preserve">– If native plant seedlings are not establishing about every one to two feet it may be necessary to </w:t>
      </w:r>
      <w:proofErr w:type="spellStart"/>
      <w:r>
        <w:t>interseed</w:t>
      </w:r>
      <w:proofErr w:type="spellEnd"/>
      <w:r>
        <w:t xml:space="preserve"> the planting. Monitor the site during the growing season to determine which species are present, and which species may need to be supplemented. </w:t>
      </w:r>
      <w:proofErr w:type="spellStart"/>
      <w:r>
        <w:t>Interseeding</w:t>
      </w:r>
      <w:proofErr w:type="spellEnd"/>
      <w:r>
        <w:t xml:space="preserve"> should be conducted after the second growing season. </w:t>
      </w:r>
    </w:p>
    <w:p w14:paraId="56C98361" w14:textId="77777777" w:rsidR="00510AF8" w:rsidRDefault="00510AF8" w:rsidP="00510AF8">
      <w:pPr>
        <w:spacing w:before="120"/>
      </w:pPr>
      <w:r>
        <w:rPr>
          <w:rStyle w:val="IntenseQuoteChar"/>
          <w:color w:val="2F5496" w:themeColor="accent1" w:themeShade="BF"/>
        </w:rPr>
        <w:t>High Annual and Biennial Weed Competition</w:t>
      </w:r>
      <w:r>
        <w:rPr>
          <w:color w:val="2F5496" w:themeColor="accent1" w:themeShade="BF"/>
        </w:rPr>
        <w:t xml:space="preserve"> </w:t>
      </w:r>
      <w:r>
        <w:t xml:space="preserve">– Annual and biennial weed competition is generally not a concern as they are short lived and frequent mowing in the first year of establishment reduces their contributions to the seed bank. Even without mowing, perennial native plants tend to outcompete annual and biennial weeds as the planting matures.  </w:t>
      </w:r>
    </w:p>
    <w:p w14:paraId="0BC20AF1" w14:textId="77777777" w:rsidR="00510AF8" w:rsidRDefault="00510AF8" w:rsidP="00510AF8">
      <w:pPr>
        <w:spacing w:before="120"/>
      </w:pPr>
      <w:r>
        <w:rPr>
          <w:rStyle w:val="IntenseEmphasis"/>
          <w:color w:val="2F5496" w:themeColor="accent1" w:themeShade="BF"/>
        </w:rPr>
        <w:t>High Perennial Weed Competition</w:t>
      </w:r>
      <w:r>
        <w:rPr>
          <w:color w:val="2F5496" w:themeColor="accent1" w:themeShade="BF"/>
        </w:rPr>
        <w:t xml:space="preserve"> </w:t>
      </w:r>
      <w:r>
        <w:t xml:space="preserve">– Dense establishment of perennial weed species can be a problem as they can prevent the establishment of native species. Prescribed burning, prescribed grazing, and/or spot herbicide application may be needed to manage perennial weeds.  </w:t>
      </w:r>
    </w:p>
    <w:p w14:paraId="2E2A65D7" w14:textId="102452D0" w:rsidR="00510AF8" w:rsidRDefault="00510AF8" w:rsidP="00510AF8">
      <w:pPr>
        <w:spacing w:before="120"/>
      </w:pPr>
      <w:r>
        <w:rPr>
          <w:rStyle w:val="IntenseEmphasis"/>
          <w:color w:val="2F5496" w:themeColor="accent1" w:themeShade="BF"/>
        </w:rPr>
        <w:t>Low Forb Diversity After Year 3</w:t>
      </w:r>
      <w:r>
        <w:rPr>
          <w:color w:val="2F5496" w:themeColor="accent1" w:themeShade="BF"/>
        </w:rPr>
        <w:t xml:space="preserve"> </w:t>
      </w:r>
      <w:r>
        <w:t xml:space="preserve">– If grasses and sedges are successfully establishing but there is a lack of forbs, it is recommended to inter-seed additional forbs in late fall or after spring mowing or grazing. See the </w:t>
      </w:r>
      <w:hyperlink r:id="rId17" w:history="1">
        <w:r>
          <w:rPr>
            <w:rStyle w:val="Hyperlink"/>
            <w:color w:val="2F5496" w:themeColor="accent1" w:themeShade="BF"/>
          </w:rPr>
          <w:t>Xerces Society guide</w:t>
        </w:r>
      </w:hyperlink>
      <w:r>
        <w:t xml:space="preserve"> for additional information and guidance about inter-seeding wildflowers.</w:t>
      </w:r>
    </w:p>
    <w:p w14:paraId="2B91BBFA" w14:textId="77777777" w:rsidR="00510AF8" w:rsidRDefault="00510AF8" w:rsidP="00510AF8"/>
    <w:p w14:paraId="55DD389F" w14:textId="77777777" w:rsidR="00830F5A" w:rsidRDefault="00830F5A" w:rsidP="00510AF8"/>
    <w:sectPr w:rsidR="00830F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A"/>
    <w:rsid w:val="0013359A"/>
    <w:rsid w:val="002061A0"/>
    <w:rsid w:val="002A515D"/>
    <w:rsid w:val="002D1BD8"/>
    <w:rsid w:val="002E7BA4"/>
    <w:rsid w:val="00300928"/>
    <w:rsid w:val="003E1E91"/>
    <w:rsid w:val="00431A61"/>
    <w:rsid w:val="00510AF8"/>
    <w:rsid w:val="006D51A2"/>
    <w:rsid w:val="007F4ED8"/>
    <w:rsid w:val="00830F5A"/>
    <w:rsid w:val="008F209F"/>
    <w:rsid w:val="00961D6C"/>
    <w:rsid w:val="009D0FBA"/>
    <w:rsid w:val="00A06750"/>
    <w:rsid w:val="00A3589F"/>
    <w:rsid w:val="00A62173"/>
    <w:rsid w:val="00A95DD7"/>
    <w:rsid w:val="00AC180D"/>
    <w:rsid w:val="00B748DC"/>
    <w:rsid w:val="00D9597D"/>
    <w:rsid w:val="00E83B8C"/>
    <w:rsid w:val="00FE42A6"/>
    <w:rsid w:val="05BE835C"/>
    <w:rsid w:val="1032F869"/>
    <w:rsid w:val="10C709AF"/>
    <w:rsid w:val="13F5D7E4"/>
    <w:rsid w:val="15874C47"/>
    <w:rsid w:val="1871D149"/>
    <w:rsid w:val="19831CC0"/>
    <w:rsid w:val="313A307A"/>
    <w:rsid w:val="31F66593"/>
    <w:rsid w:val="3BDC28E7"/>
    <w:rsid w:val="3EB8FECC"/>
    <w:rsid w:val="4A7E3EB5"/>
    <w:rsid w:val="51197A12"/>
    <w:rsid w:val="5D41AF54"/>
    <w:rsid w:val="63BF302F"/>
    <w:rsid w:val="6726A642"/>
    <w:rsid w:val="67956EEC"/>
    <w:rsid w:val="6F80C06E"/>
    <w:rsid w:val="79F0C5CA"/>
    <w:rsid w:val="7AFE0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5A3EF"/>
  <w15:chartTrackingRefBased/>
  <w15:docId w15:val="{8C16655C-ADCB-4EEC-AFAC-553C9E72A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F5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0F5A"/>
    <w:rPr>
      <w:color w:val="0563C1" w:themeColor="hyperlink"/>
      <w:u w:val="single"/>
    </w:rPr>
  </w:style>
  <w:style w:type="paragraph" w:styleId="IntenseQuote">
    <w:name w:val="Intense Quote"/>
    <w:basedOn w:val="Normal"/>
    <w:next w:val="Normal"/>
    <w:link w:val="IntenseQuoteChar"/>
    <w:uiPriority w:val="30"/>
    <w:qFormat/>
    <w:rsid w:val="00830F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30F5A"/>
    <w:rPr>
      <w:rFonts w:ascii="Calibri" w:hAnsi="Calibri" w:cs="Calibri"/>
      <w:i/>
      <w:iCs/>
      <w:color w:val="4472C4" w:themeColor="accent1"/>
    </w:rPr>
  </w:style>
  <w:style w:type="paragraph" w:customStyle="1" w:styleId="Default">
    <w:name w:val="Default"/>
    <w:rsid w:val="00830F5A"/>
    <w:pPr>
      <w:autoSpaceDE w:val="0"/>
      <w:autoSpaceDN w:val="0"/>
      <w:adjustRightInd w:val="0"/>
      <w:spacing w:after="0" w:line="240" w:lineRule="auto"/>
    </w:pPr>
    <w:rPr>
      <w:rFonts w:ascii="Calibri" w:hAnsi="Calibri" w:cs="Calibri"/>
      <w:color w:val="000000"/>
      <w:sz w:val="24"/>
      <w:szCs w:val="24"/>
    </w:rPr>
  </w:style>
  <w:style w:type="character" w:styleId="IntenseEmphasis">
    <w:name w:val="Intense Emphasis"/>
    <w:basedOn w:val="DefaultParagraphFont"/>
    <w:uiPriority w:val="21"/>
    <w:qFormat/>
    <w:rsid w:val="00830F5A"/>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06131">
      <w:bodyDiv w:val="1"/>
      <w:marLeft w:val="0"/>
      <w:marRight w:val="0"/>
      <w:marTop w:val="0"/>
      <w:marBottom w:val="0"/>
      <w:divBdr>
        <w:top w:val="none" w:sz="0" w:space="0" w:color="auto"/>
        <w:left w:val="none" w:sz="0" w:space="0" w:color="auto"/>
        <w:bottom w:val="none" w:sz="0" w:space="0" w:color="auto"/>
        <w:right w:val="none" w:sz="0" w:space="0" w:color="auto"/>
      </w:divBdr>
    </w:div>
    <w:div w:id="1166944562">
      <w:bodyDiv w:val="1"/>
      <w:marLeft w:val="0"/>
      <w:marRight w:val="0"/>
      <w:marTop w:val="0"/>
      <w:marBottom w:val="0"/>
      <w:divBdr>
        <w:top w:val="none" w:sz="0" w:space="0" w:color="auto"/>
        <w:left w:val="none" w:sz="0" w:space="0" w:color="auto"/>
        <w:bottom w:val="none" w:sz="0" w:space="0" w:color="auto"/>
        <w:right w:val="none" w:sz="0" w:space="0" w:color="auto"/>
      </w:divBdr>
    </w:div>
    <w:div w:id="169391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bwsr.state.mn.us/sites/default/files/2021-02/seedmix-substitution.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bwsr.state.mn.us/seed-mixes" TargetMode="External"/><Relationship Id="rId17" Type="http://schemas.openxmlformats.org/officeDocument/2006/relationships/hyperlink" Target="https://xerces.org/publications/guidelines/interseeding-wildflowers-to-diversify-grasslands-for-pollinators" TargetMode="External"/><Relationship Id="rId2" Type="http://schemas.openxmlformats.org/officeDocument/2006/relationships/customXml" Target="../customXml/item2.xml"/><Relationship Id="rId16" Type="http://schemas.openxmlformats.org/officeDocument/2006/relationships/hyperlink" Target="https://mipncontroldatabase.wisc.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yperlink" Target="https://www.mda.state.mn.us/plants-insects/minnesota-noxious-weed-list"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hyperlink" Target="https://xerces.org/publications/guidelines/organic-site-preparation-for-wildflower-establis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6" ma:contentTypeDescription="Create a new document." ma:contentTypeScope="" ma:versionID="c795dab67ea53f38c9cf145d788fef53">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dd92267601e163b49a5ea87bb45ff76f"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6B715-26C9-40C5-9D81-3BA11162B799}">
  <ds:schemaRefs>
    <ds:schemaRef ds:uri="http://schemas.microsoft.com/sharepoint/v3/contenttype/forms"/>
  </ds:schemaRefs>
</ds:datastoreItem>
</file>

<file path=customXml/itemProps2.xml><?xml version="1.0" encoding="utf-8"?>
<ds:datastoreItem xmlns:ds="http://schemas.openxmlformats.org/officeDocument/2006/customXml" ds:itemID="{F27BA4CE-013B-4B18-AB9B-947FB7E74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426c-40bd-4a45-9ec1-df064aaa9130"/>
    <ds:schemaRef ds:uri="5e5027df-e74e-4ce0-b9c9-d8358917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C4BD59-545A-4A81-B9DA-498F0C2DF3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2769</Words>
  <Characters>15785</Characters>
  <Application>Microsoft Office Word</Application>
  <DocSecurity>0</DocSecurity>
  <Lines>131</Lines>
  <Paragraphs>37</Paragraphs>
  <ScaleCrop>false</ScaleCrop>
  <Company/>
  <LinksUpToDate>false</LinksUpToDate>
  <CharactersWithSpaces>18517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Dan B (BWSR)</dc:creator>
  <cp:keywords/>
  <dc:description/>
  <cp:lastModifiedBy>Rost, Cecelia (She/Her/Hers) (BWSR)</cp:lastModifiedBy>
  <cp:revision>2</cp:revision>
  <dcterms:created xsi:type="dcterms:W3CDTF">2024-05-15T14:01:00Z</dcterms:created>
  <dcterms:modified xsi:type="dcterms:W3CDTF">2024-05-15T14:01:00Z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