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898F" w14:textId="77777777" w:rsidR="006C74FD" w:rsidRDefault="006C74FD">
      <w:pPr>
        <w:jc w:val="center"/>
        <w:rPr>
          <w:rFonts w:ascii="Arial" w:hAnsi="Arial" w:cs="Arial"/>
          <w:b/>
          <w:sz w:val="32"/>
          <w:szCs w:val="32"/>
        </w:rPr>
      </w:pPr>
      <w:r>
        <w:rPr>
          <w:rFonts w:ascii="Arial" w:hAnsi="Arial" w:cs="Arial"/>
          <w:b/>
          <w:sz w:val="32"/>
          <w:szCs w:val="32"/>
        </w:rPr>
        <w:t>Wetland Delineation Re</w:t>
      </w:r>
      <w:r w:rsidR="005C1E8B">
        <w:rPr>
          <w:rFonts w:ascii="Arial" w:hAnsi="Arial" w:cs="Arial"/>
          <w:b/>
          <w:sz w:val="32"/>
          <w:szCs w:val="32"/>
        </w:rPr>
        <w:t>view</w:t>
      </w:r>
      <w:r>
        <w:rPr>
          <w:rFonts w:ascii="Arial" w:hAnsi="Arial" w:cs="Arial"/>
          <w:b/>
          <w:sz w:val="32"/>
          <w:szCs w:val="32"/>
        </w:rPr>
        <w:t xml:space="preserve"> Checklist for </w:t>
      </w:r>
      <w:smartTag w:uri="urn:schemas-microsoft-com:office:smarttags" w:element="State">
        <w:smartTag w:uri="urn:schemas-microsoft-com:office:smarttags" w:element="place">
          <w:r>
            <w:rPr>
              <w:rFonts w:ascii="Arial" w:hAnsi="Arial" w:cs="Arial"/>
              <w:b/>
              <w:sz w:val="32"/>
              <w:szCs w:val="32"/>
            </w:rPr>
            <w:t>Minnesota</w:t>
          </w:r>
        </w:smartTag>
      </w:smartTag>
    </w:p>
    <w:p w14:paraId="1758340E" w14:textId="77777777" w:rsidR="006C74FD" w:rsidRDefault="006C74FD">
      <w:pPr>
        <w:jc w:val="center"/>
        <w:rPr>
          <w:rFonts w:ascii="Arial" w:hAnsi="Arial" w:cs="Arial"/>
          <w:sz w:val="22"/>
          <w:szCs w:val="22"/>
        </w:rPr>
      </w:pPr>
    </w:p>
    <w:p w14:paraId="2DD1AF5D" w14:textId="77777777" w:rsidR="006C74FD" w:rsidRDefault="006C74FD">
      <w:pPr>
        <w:pStyle w:val="BodyText"/>
        <w:rPr>
          <w:szCs w:val="22"/>
        </w:rPr>
      </w:pPr>
      <w:r>
        <w:rPr>
          <w:szCs w:val="22"/>
        </w:rPr>
        <w:t xml:space="preserve">This document is intended to provide those reviewing wetland delineations </w:t>
      </w:r>
      <w:r w:rsidR="006124D6">
        <w:rPr>
          <w:szCs w:val="22"/>
        </w:rPr>
        <w:t xml:space="preserve">for regulatory purposes </w:t>
      </w:r>
      <w:r>
        <w:rPr>
          <w:szCs w:val="22"/>
        </w:rPr>
        <w:t xml:space="preserve">with a checklist of basic components that should be considered </w:t>
      </w:r>
      <w:r w:rsidR="005C1E8B">
        <w:rPr>
          <w:szCs w:val="22"/>
        </w:rPr>
        <w:t>when reviewing wetland delineations</w:t>
      </w:r>
      <w:r>
        <w:rPr>
          <w:szCs w:val="22"/>
        </w:rPr>
        <w:t xml:space="preserve">. </w:t>
      </w:r>
      <w:r w:rsidR="00AF0867">
        <w:rPr>
          <w:szCs w:val="22"/>
        </w:rPr>
        <w:t xml:space="preserve">It can also serve as a useful guide for those conducting delineations and preparing reports. </w:t>
      </w:r>
      <w:r>
        <w:rPr>
          <w:szCs w:val="22"/>
        </w:rPr>
        <w:t xml:space="preserve">This checklist is for most </w:t>
      </w:r>
      <w:r w:rsidRPr="00AF0867">
        <w:rPr>
          <w:szCs w:val="22"/>
          <w:u w:val="single"/>
        </w:rPr>
        <w:t>routine</w:t>
      </w:r>
      <w:r>
        <w:rPr>
          <w:szCs w:val="22"/>
        </w:rPr>
        <w:t xml:space="preserve"> wetland delineations in </w:t>
      </w:r>
      <w:smartTag w:uri="urn:schemas-microsoft-com:office:smarttags" w:element="place">
        <w:smartTag w:uri="urn:schemas-microsoft-com:office:smarttags" w:element="State">
          <w:r>
            <w:rPr>
              <w:szCs w:val="22"/>
            </w:rPr>
            <w:t>Minnesota</w:t>
          </w:r>
        </w:smartTag>
      </w:smartTag>
      <w:r>
        <w:rPr>
          <w:szCs w:val="22"/>
        </w:rPr>
        <w:t>. Other report components and review considerations may be applicable depending on the characteristics of the site being evaluated. Users should consult the 1987 Corps of Engineers Wetland Delineation Manual, any applicable regional supplement, and Board of Water &amp; Soil Resources guidance documents for more specific information and explanations.</w:t>
      </w:r>
      <w:r w:rsidR="006124D6">
        <w:rPr>
          <w:szCs w:val="22"/>
        </w:rPr>
        <w:t xml:space="preserve"> </w:t>
      </w:r>
    </w:p>
    <w:p w14:paraId="6041580D" w14:textId="77777777" w:rsidR="006C74FD" w:rsidRDefault="006C74FD">
      <w:pPr>
        <w:rPr>
          <w:rFonts w:ascii="Arial" w:hAnsi="Arial" w:cs="Arial"/>
          <w:sz w:val="22"/>
          <w:szCs w:val="22"/>
        </w:rPr>
      </w:pPr>
    </w:p>
    <w:p w14:paraId="45DBDFB0" w14:textId="77777777" w:rsidR="006C74FD" w:rsidRPr="00AF0867" w:rsidRDefault="006C74FD">
      <w:pPr>
        <w:rPr>
          <w:rFonts w:ascii="Arial" w:hAnsi="Arial" w:cs="Arial"/>
          <w:bCs/>
          <w:sz w:val="22"/>
          <w:szCs w:val="22"/>
        </w:rPr>
      </w:pPr>
      <w:r>
        <w:rPr>
          <w:rFonts w:ascii="Arial" w:hAnsi="Arial" w:cs="Arial"/>
          <w:b/>
          <w:bCs/>
          <w:sz w:val="28"/>
          <w:szCs w:val="28"/>
        </w:rPr>
        <w:t xml:space="preserve">      Basic Report Components</w:t>
      </w:r>
      <w:r w:rsidR="00AF0867">
        <w:rPr>
          <w:rFonts w:ascii="Arial" w:hAnsi="Arial" w:cs="Arial"/>
          <w:b/>
          <w:bCs/>
          <w:sz w:val="28"/>
          <w:szCs w:val="28"/>
        </w:rPr>
        <w:t xml:space="preserve"> </w:t>
      </w:r>
      <w:r w:rsidR="00AF0867">
        <w:rPr>
          <w:rFonts w:ascii="Arial" w:hAnsi="Arial" w:cs="Arial"/>
          <w:bCs/>
          <w:sz w:val="22"/>
          <w:szCs w:val="22"/>
        </w:rPr>
        <w:t>(check to make sure these are in the report)</w:t>
      </w:r>
    </w:p>
    <w:p w14:paraId="1F212B2C" w14:textId="77777777" w:rsidR="006C74FD" w:rsidRDefault="006C74FD">
      <w:pPr>
        <w:rPr>
          <w:rFonts w:ascii="Arial" w:hAnsi="Arial" w:cs="Arial"/>
          <w:sz w:val="22"/>
          <w:szCs w:val="22"/>
        </w:rPr>
      </w:pPr>
    </w:p>
    <w:p w14:paraId="5681EE5B" w14:textId="77777777" w:rsidR="006C74FD" w:rsidRDefault="006C74FD">
      <w:pPr>
        <w:numPr>
          <w:ilvl w:val="0"/>
          <w:numId w:val="3"/>
        </w:numPr>
        <w:rPr>
          <w:rFonts w:ascii="Arial" w:hAnsi="Arial" w:cs="Arial"/>
          <w:sz w:val="22"/>
          <w:szCs w:val="22"/>
        </w:rPr>
      </w:pPr>
      <w:r>
        <w:rPr>
          <w:rFonts w:ascii="Arial" w:hAnsi="Arial" w:cs="Arial"/>
          <w:sz w:val="22"/>
          <w:szCs w:val="22"/>
        </w:rPr>
        <w:t>Site location map</w:t>
      </w:r>
    </w:p>
    <w:p w14:paraId="51A1FBD0" w14:textId="77777777" w:rsidR="006C74FD" w:rsidRDefault="006C74FD">
      <w:pPr>
        <w:numPr>
          <w:ilvl w:val="0"/>
          <w:numId w:val="3"/>
        </w:numPr>
        <w:rPr>
          <w:rFonts w:ascii="Arial" w:hAnsi="Arial" w:cs="Arial"/>
          <w:sz w:val="22"/>
          <w:szCs w:val="22"/>
        </w:rPr>
      </w:pPr>
      <w:r>
        <w:rPr>
          <w:rFonts w:ascii="Arial" w:hAnsi="Arial" w:cs="Arial"/>
          <w:sz w:val="22"/>
          <w:szCs w:val="22"/>
        </w:rPr>
        <w:t>National Wetland Inventory (NWI) map</w:t>
      </w:r>
    </w:p>
    <w:p w14:paraId="4E4643D6" w14:textId="77777777" w:rsidR="006C74FD" w:rsidRDefault="006C74FD">
      <w:pPr>
        <w:numPr>
          <w:ilvl w:val="0"/>
          <w:numId w:val="3"/>
        </w:numPr>
        <w:rPr>
          <w:rFonts w:ascii="Arial" w:hAnsi="Arial" w:cs="Arial"/>
          <w:sz w:val="22"/>
          <w:szCs w:val="22"/>
        </w:rPr>
      </w:pPr>
      <w:r>
        <w:rPr>
          <w:rFonts w:ascii="Arial" w:hAnsi="Arial" w:cs="Arial"/>
          <w:sz w:val="22"/>
          <w:szCs w:val="22"/>
        </w:rPr>
        <w:t xml:space="preserve">Soil survey map (use web soil survey at </w:t>
      </w:r>
      <w:hyperlink r:id="rId7" w:history="1">
        <w:r>
          <w:rPr>
            <w:rStyle w:val="Hyperlink"/>
            <w:rFonts w:ascii="Arial" w:hAnsi="Arial" w:cs="Arial"/>
            <w:sz w:val="22"/>
            <w:szCs w:val="22"/>
          </w:rPr>
          <w:t>http://websoilsurvey.nrcs.usda.gov/app/</w:t>
        </w:r>
      </w:hyperlink>
      <w:r>
        <w:rPr>
          <w:rFonts w:ascii="Arial" w:hAnsi="Arial" w:cs="Arial"/>
          <w:sz w:val="22"/>
          <w:szCs w:val="22"/>
        </w:rPr>
        <w:t>)</w:t>
      </w:r>
    </w:p>
    <w:p w14:paraId="78A54A72" w14:textId="77777777" w:rsidR="006C74FD" w:rsidRDefault="006C74FD">
      <w:pPr>
        <w:numPr>
          <w:ilvl w:val="0"/>
          <w:numId w:val="3"/>
        </w:numPr>
        <w:rPr>
          <w:rFonts w:ascii="Arial" w:hAnsi="Arial" w:cs="Arial"/>
          <w:sz w:val="22"/>
          <w:szCs w:val="22"/>
        </w:rPr>
      </w:pPr>
      <w:r>
        <w:rPr>
          <w:rFonts w:ascii="Arial" w:hAnsi="Arial" w:cs="Arial"/>
          <w:sz w:val="22"/>
          <w:szCs w:val="22"/>
        </w:rPr>
        <w:t>MN Dept. of Nat. Resources Protected Waters Map</w:t>
      </w:r>
    </w:p>
    <w:p w14:paraId="7825F238" w14:textId="77777777" w:rsidR="006C74FD" w:rsidRDefault="006C74FD">
      <w:pPr>
        <w:numPr>
          <w:ilvl w:val="0"/>
          <w:numId w:val="3"/>
        </w:numPr>
        <w:rPr>
          <w:rFonts w:ascii="Arial" w:hAnsi="Arial" w:cs="Arial"/>
          <w:sz w:val="22"/>
          <w:szCs w:val="22"/>
        </w:rPr>
      </w:pPr>
      <w:r>
        <w:rPr>
          <w:rFonts w:ascii="Arial" w:hAnsi="Arial" w:cs="Arial"/>
          <w:sz w:val="22"/>
          <w:szCs w:val="22"/>
        </w:rPr>
        <w:t>Recent air photo with sampling point locations, site boundary, and wetland boundaries</w:t>
      </w:r>
    </w:p>
    <w:p w14:paraId="62CA4374" w14:textId="77777777" w:rsidR="006C74FD" w:rsidRDefault="006C74FD">
      <w:pPr>
        <w:numPr>
          <w:ilvl w:val="0"/>
          <w:numId w:val="3"/>
        </w:numPr>
        <w:rPr>
          <w:rFonts w:ascii="Arial" w:hAnsi="Arial" w:cs="Arial"/>
          <w:sz w:val="22"/>
          <w:szCs w:val="22"/>
        </w:rPr>
      </w:pPr>
      <w:r>
        <w:rPr>
          <w:rFonts w:ascii="Arial" w:hAnsi="Arial" w:cs="Arial"/>
          <w:sz w:val="22"/>
          <w:szCs w:val="22"/>
        </w:rPr>
        <w:t>Survey map (</w:t>
      </w:r>
      <w:r w:rsidR="00AF0867">
        <w:rPr>
          <w:rFonts w:ascii="Arial" w:hAnsi="Arial" w:cs="Arial"/>
          <w:sz w:val="22"/>
          <w:szCs w:val="22"/>
        </w:rPr>
        <w:t>optional depending on local requirements</w:t>
      </w:r>
      <w:r>
        <w:rPr>
          <w:rFonts w:ascii="Arial" w:hAnsi="Arial" w:cs="Arial"/>
          <w:sz w:val="22"/>
          <w:szCs w:val="22"/>
        </w:rPr>
        <w:t>)</w:t>
      </w:r>
    </w:p>
    <w:p w14:paraId="048AB5C0" w14:textId="77777777" w:rsidR="006C74FD" w:rsidRDefault="006C74FD">
      <w:pPr>
        <w:numPr>
          <w:ilvl w:val="0"/>
          <w:numId w:val="3"/>
        </w:numPr>
        <w:rPr>
          <w:rFonts w:ascii="Arial" w:hAnsi="Arial" w:cs="Arial"/>
          <w:sz w:val="22"/>
          <w:szCs w:val="22"/>
        </w:rPr>
      </w:pPr>
      <w:r>
        <w:rPr>
          <w:rFonts w:ascii="Arial" w:hAnsi="Arial" w:cs="Arial"/>
          <w:sz w:val="22"/>
          <w:szCs w:val="22"/>
        </w:rPr>
        <w:t>Wetland delineation data forms corresponding to indicated sampling point locations</w:t>
      </w:r>
    </w:p>
    <w:p w14:paraId="586B3CD9" w14:textId="77777777" w:rsidR="006C74FD" w:rsidRDefault="006C74FD">
      <w:pPr>
        <w:ind w:left="360"/>
        <w:rPr>
          <w:rFonts w:ascii="Arial" w:hAnsi="Arial" w:cs="Arial"/>
          <w:sz w:val="22"/>
          <w:szCs w:val="22"/>
        </w:rPr>
      </w:pPr>
      <w:bookmarkStart w:id="0" w:name="_GoBack"/>
      <w:bookmarkEnd w:id="0"/>
    </w:p>
    <w:p w14:paraId="250A3038" w14:textId="77777777" w:rsidR="006C74FD" w:rsidRPr="00AF0867" w:rsidRDefault="006C74FD">
      <w:pPr>
        <w:pStyle w:val="Heading1"/>
        <w:rPr>
          <w:b w:val="0"/>
          <w:sz w:val="22"/>
          <w:szCs w:val="22"/>
        </w:rPr>
      </w:pPr>
      <w:r>
        <w:rPr>
          <w:sz w:val="28"/>
          <w:szCs w:val="28"/>
        </w:rPr>
        <w:t>Report Contents</w:t>
      </w:r>
      <w:r w:rsidR="00AF0867">
        <w:rPr>
          <w:sz w:val="28"/>
          <w:szCs w:val="28"/>
        </w:rPr>
        <w:t xml:space="preserve"> </w:t>
      </w:r>
      <w:r w:rsidR="00AF0867">
        <w:rPr>
          <w:b w:val="0"/>
          <w:sz w:val="22"/>
          <w:szCs w:val="22"/>
        </w:rPr>
        <w:t>(review report and data forms for these elements)</w:t>
      </w:r>
    </w:p>
    <w:p w14:paraId="12E89097" w14:textId="77777777" w:rsidR="006C74FD" w:rsidRDefault="006C74FD">
      <w:pPr>
        <w:rPr>
          <w:rFonts w:ascii="Arial" w:hAnsi="Arial" w:cs="Arial"/>
          <w:sz w:val="22"/>
          <w:szCs w:val="22"/>
        </w:rPr>
      </w:pPr>
    </w:p>
    <w:p w14:paraId="7EFFA5D4" w14:textId="77777777" w:rsidR="006C74FD" w:rsidRDefault="006C74FD">
      <w:pPr>
        <w:ind w:left="360"/>
        <w:rPr>
          <w:rFonts w:ascii="Arial" w:hAnsi="Arial" w:cs="Arial"/>
          <w:sz w:val="22"/>
          <w:szCs w:val="22"/>
        </w:rPr>
      </w:pPr>
      <w:r>
        <w:rPr>
          <w:rFonts w:ascii="Arial" w:hAnsi="Arial" w:cs="Arial"/>
          <w:sz w:val="22"/>
          <w:szCs w:val="22"/>
          <w:u w:val="single"/>
        </w:rPr>
        <w:t>General</w:t>
      </w:r>
    </w:p>
    <w:p w14:paraId="30899FF7" w14:textId="77777777" w:rsidR="006C74FD" w:rsidRDefault="006C74FD">
      <w:pPr>
        <w:ind w:left="360"/>
        <w:rPr>
          <w:rFonts w:ascii="Arial" w:hAnsi="Arial" w:cs="Arial"/>
          <w:sz w:val="22"/>
          <w:szCs w:val="22"/>
        </w:rPr>
      </w:pPr>
    </w:p>
    <w:p w14:paraId="2ACA9A94" w14:textId="77777777" w:rsidR="006C74FD" w:rsidRDefault="006C74FD">
      <w:pPr>
        <w:numPr>
          <w:ilvl w:val="0"/>
          <w:numId w:val="3"/>
        </w:numPr>
        <w:rPr>
          <w:rFonts w:ascii="Arial" w:hAnsi="Arial" w:cs="Arial"/>
          <w:sz w:val="22"/>
          <w:szCs w:val="22"/>
        </w:rPr>
      </w:pPr>
      <w:r>
        <w:rPr>
          <w:rFonts w:ascii="Arial" w:hAnsi="Arial" w:cs="Arial"/>
          <w:sz w:val="22"/>
          <w:szCs w:val="22"/>
        </w:rPr>
        <w:t>Circular 39 wetland types and Eggers &amp; Reed plant community types identified for each wetland</w:t>
      </w:r>
    </w:p>
    <w:p w14:paraId="3998DD0F" w14:textId="77777777" w:rsidR="006C74FD" w:rsidRDefault="006C74FD">
      <w:pPr>
        <w:numPr>
          <w:ilvl w:val="0"/>
          <w:numId w:val="3"/>
        </w:numPr>
        <w:rPr>
          <w:rFonts w:ascii="Arial" w:hAnsi="Arial" w:cs="Arial"/>
          <w:sz w:val="22"/>
          <w:szCs w:val="22"/>
        </w:rPr>
      </w:pPr>
      <w:r>
        <w:rPr>
          <w:rFonts w:ascii="Arial" w:hAnsi="Arial" w:cs="Arial"/>
          <w:sz w:val="22"/>
          <w:szCs w:val="22"/>
        </w:rPr>
        <w:t>Vegetation and landscape position of all adjacent upland areas identified and described</w:t>
      </w:r>
    </w:p>
    <w:p w14:paraId="38655241" w14:textId="77777777" w:rsidR="006C74FD" w:rsidRDefault="006C74FD">
      <w:pPr>
        <w:numPr>
          <w:ilvl w:val="0"/>
          <w:numId w:val="3"/>
        </w:numPr>
        <w:rPr>
          <w:rFonts w:ascii="Arial" w:hAnsi="Arial" w:cs="Arial"/>
          <w:sz w:val="22"/>
          <w:szCs w:val="22"/>
        </w:rPr>
      </w:pPr>
      <w:r>
        <w:rPr>
          <w:rFonts w:ascii="Arial" w:hAnsi="Arial" w:cs="Arial"/>
          <w:sz w:val="22"/>
          <w:szCs w:val="22"/>
        </w:rPr>
        <w:t>Wetland-upland transitions described for each wetland in terms of vegetation, soils, and hydrology</w:t>
      </w:r>
    </w:p>
    <w:p w14:paraId="22115E3C" w14:textId="77777777" w:rsidR="005C1E8B" w:rsidRDefault="005C1E8B">
      <w:pPr>
        <w:numPr>
          <w:ilvl w:val="0"/>
          <w:numId w:val="3"/>
        </w:numPr>
        <w:rPr>
          <w:rFonts w:ascii="Arial" w:hAnsi="Arial" w:cs="Arial"/>
          <w:sz w:val="22"/>
          <w:szCs w:val="22"/>
        </w:rPr>
      </w:pPr>
      <w:r>
        <w:rPr>
          <w:rFonts w:ascii="Arial" w:hAnsi="Arial" w:cs="Arial"/>
          <w:sz w:val="22"/>
          <w:szCs w:val="22"/>
        </w:rPr>
        <w:t>Methodology for identifying potential wetland areas described</w:t>
      </w:r>
    </w:p>
    <w:p w14:paraId="0F58D660" w14:textId="77777777" w:rsidR="005C1E8B" w:rsidRDefault="005C1E8B">
      <w:pPr>
        <w:numPr>
          <w:ilvl w:val="0"/>
          <w:numId w:val="3"/>
        </w:numPr>
        <w:rPr>
          <w:rFonts w:ascii="Arial" w:hAnsi="Arial" w:cs="Arial"/>
          <w:sz w:val="22"/>
          <w:szCs w:val="22"/>
        </w:rPr>
      </w:pPr>
      <w:r>
        <w:rPr>
          <w:rFonts w:ascii="Arial" w:hAnsi="Arial" w:cs="Arial"/>
          <w:sz w:val="22"/>
          <w:szCs w:val="22"/>
        </w:rPr>
        <w:t>All potential wetlands from hydric soil, NWI, and other mapping sources adequately investigated and described in the report.</w:t>
      </w:r>
    </w:p>
    <w:p w14:paraId="5E24EBA7" w14:textId="77777777" w:rsidR="006C74FD" w:rsidRDefault="006C74FD">
      <w:pPr>
        <w:ind w:left="360"/>
        <w:rPr>
          <w:rFonts w:ascii="Arial" w:hAnsi="Arial" w:cs="Arial"/>
          <w:sz w:val="22"/>
          <w:szCs w:val="22"/>
        </w:rPr>
      </w:pPr>
    </w:p>
    <w:p w14:paraId="49714A26" w14:textId="77777777" w:rsidR="006C74FD" w:rsidRDefault="006C74FD">
      <w:pPr>
        <w:ind w:left="360"/>
        <w:rPr>
          <w:rFonts w:ascii="Arial" w:hAnsi="Arial" w:cs="Arial"/>
          <w:sz w:val="22"/>
          <w:szCs w:val="22"/>
        </w:rPr>
      </w:pPr>
      <w:r>
        <w:rPr>
          <w:rFonts w:ascii="Arial" w:hAnsi="Arial" w:cs="Arial"/>
          <w:sz w:val="22"/>
          <w:szCs w:val="22"/>
          <w:u w:val="single"/>
        </w:rPr>
        <w:t>Wetland Delineation Data Form Review</w:t>
      </w:r>
    </w:p>
    <w:p w14:paraId="1A365D89" w14:textId="77777777" w:rsidR="006C74FD" w:rsidRDefault="006C74FD">
      <w:pPr>
        <w:ind w:left="360"/>
        <w:rPr>
          <w:rFonts w:ascii="Arial" w:hAnsi="Arial" w:cs="Arial"/>
          <w:sz w:val="22"/>
          <w:szCs w:val="22"/>
        </w:rPr>
      </w:pPr>
    </w:p>
    <w:p w14:paraId="32AF206B" w14:textId="77777777" w:rsidR="006C74FD" w:rsidRDefault="006C74FD">
      <w:pPr>
        <w:numPr>
          <w:ilvl w:val="0"/>
          <w:numId w:val="3"/>
        </w:numPr>
        <w:rPr>
          <w:rFonts w:ascii="Arial" w:hAnsi="Arial" w:cs="Arial"/>
          <w:sz w:val="22"/>
          <w:szCs w:val="22"/>
        </w:rPr>
      </w:pPr>
      <w:r>
        <w:rPr>
          <w:rFonts w:ascii="Arial" w:hAnsi="Arial" w:cs="Arial"/>
          <w:sz w:val="22"/>
          <w:szCs w:val="22"/>
        </w:rPr>
        <w:t>“Normal circumstances”, “disturbed” and “problematic” designations properly identified</w:t>
      </w:r>
    </w:p>
    <w:p w14:paraId="037B85F0" w14:textId="77777777" w:rsidR="006C74FD" w:rsidRDefault="006C74FD">
      <w:pPr>
        <w:numPr>
          <w:ilvl w:val="0"/>
          <w:numId w:val="3"/>
        </w:numPr>
        <w:rPr>
          <w:rFonts w:ascii="Arial" w:hAnsi="Arial" w:cs="Arial"/>
          <w:sz w:val="22"/>
          <w:szCs w:val="22"/>
        </w:rPr>
      </w:pPr>
      <w:r>
        <w:rPr>
          <w:rFonts w:ascii="Arial" w:hAnsi="Arial" w:cs="Arial"/>
          <w:sz w:val="22"/>
          <w:szCs w:val="22"/>
        </w:rPr>
        <w:t>Vegetation classified into appropriate layers (herb, shrub, tree, vine)</w:t>
      </w:r>
    </w:p>
    <w:p w14:paraId="34CDEC3B" w14:textId="77777777" w:rsidR="006C74FD" w:rsidRDefault="006C74FD">
      <w:pPr>
        <w:numPr>
          <w:ilvl w:val="0"/>
          <w:numId w:val="3"/>
        </w:numPr>
        <w:rPr>
          <w:rFonts w:ascii="Arial" w:hAnsi="Arial" w:cs="Arial"/>
          <w:sz w:val="22"/>
          <w:szCs w:val="22"/>
        </w:rPr>
      </w:pPr>
      <w:r>
        <w:rPr>
          <w:rFonts w:ascii="Arial" w:hAnsi="Arial" w:cs="Arial"/>
          <w:sz w:val="22"/>
          <w:szCs w:val="22"/>
        </w:rPr>
        <w:t xml:space="preserve">Scientific name and indicator status identified </w:t>
      </w:r>
    </w:p>
    <w:p w14:paraId="5AEC5512" w14:textId="77777777" w:rsidR="006C74FD" w:rsidRDefault="006C74FD">
      <w:pPr>
        <w:numPr>
          <w:ilvl w:val="0"/>
          <w:numId w:val="3"/>
        </w:numPr>
        <w:rPr>
          <w:rFonts w:ascii="Arial" w:hAnsi="Arial" w:cs="Arial"/>
          <w:sz w:val="22"/>
          <w:szCs w:val="22"/>
        </w:rPr>
      </w:pPr>
      <w:r>
        <w:rPr>
          <w:rFonts w:ascii="Arial" w:hAnsi="Arial" w:cs="Arial"/>
          <w:sz w:val="22"/>
          <w:szCs w:val="22"/>
        </w:rPr>
        <w:t>50/20 dominance rule applied properly for each vegetation layer</w:t>
      </w:r>
    </w:p>
    <w:p w14:paraId="378871E0" w14:textId="77777777" w:rsidR="006C74FD" w:rsidRDefault="006C74FD">
      <w:pPr>
        <w:numPr>
          <w:ilvl w:val="0"/>
          <w:numId w:val="3"/>
        </w:numPr>
        <w:rPr>
          <w:rFonts w:ascii="Arial" w:hAnsi="Arial" w:cs="Arial"/>
          <w:sz w:val="22"/>
          <w:szCs w:val="22"/>
        </w:rPr>
      </w:pPr>
      <w:r>
        <w:rPr>
          <w:rFonts w:ascii="Arial" w:hAnsi="Arial" w:cs="Arial"/>
          <w:sz w:val="22"/>
          <w:szCs w:val="22"/>
        </w:rPr>
        <w:t>Soil described to at least 20 inches from the soil surface</w:t>
      </w:r>
    </w:p>
    <w:p w14:paraId="08856C27" w14:textId="77777777" w:rsidR="006C74FD" w:rsidRDefault="006C74FD">
      <w:pPr>
        <w:numPr>
          <w:ilvl w:val="0"/>
          <w:numId w:val="3"/>
        </w:numPr>
        <w:rPr>
          <w:rFonts w:ascii="Arial" w:hAnsi="Arial" w:cs="Arial"/>
          <w:sz w:val="22"/>
          <w:szCs w:val="22"/>
        </w:rPr>
      </w:pPr>
      <w:r>
        <w:rPr>
          <w:rFonts w:ascii="Arial" w:hAnsi="Arial" w:cs="Arial"/>
          <w:sz w:val="22"/>
          <w:szCs w:val="22"/>
        </w:rPr>
        <w:t>Soil textures and Munsell colors given for each soil layer in sample</w:t>
      </w:r>
    </w:p>
    <w:p w14:paraId="0192DC7A" w14:textId="77777777" w:rsidR="006C74FD" w:rsidRDefault="006C74FD">
      <w:pPr>
        <w:rPr>
          <w:rFonts w:ascii="Arial" w:hAnsi="Arial" w:cs="Arial"/>
          <w:sz w:val="22"/>
          <w:szCs w:val="22"/>
        </w:rPr>
      </w:pPr>
    </w:p>
    <w:p w14:paraId="7A20F2A8" w14:textId="77777777" w:rsidR="006C74FD" w:rsidRPr="00AF0867" w:rsidRDefault="006C74FD">
      <w:pPr>
        <w:ind w:left="360"/>
        <w:rPr>
          <w:rFonts w:ascii="Arial" w:hAnsi="Arial" w:cs="Arial"/>
          <w:sz w:val="22"/>
          <w:szCs w:val="22"/>
        </w:rPr>
      </w:pPr>
      <w:r>
        <w:rPr>
          <w:rFonts w:ascii="Arial" w:hAnsi="Arial" w:cs="Arial"/>
          <w:b/>
          <w:sz w:val="28"/>
          <w:szCs w:val="28"/>
        </w:rPr>
        <w:t>Field Review</w:t>
      </w:r>
      <w:r w:rsidR="00AF0867">
        <w:rPr>
          <w:rFonts w:ascii="Arial" w:hAnsi="Arial" w:cs="Arial"/>
          <w:sz w:val="22"/>
          <w:szCs w:val="22"/>
        </w:rPr>
        <w:t xml:space="preserve"> (conduct a field review and verify the following elements)</w:t>
      </w:r>
    </w:p>
    <w:p w14:paraId="5D0A1C07" w14:textId="77777777" w:rsidR="006C74FD" w:rsidRDefault="006C74FD">
      <w:pPr>
        <w:ind w:left="360"/>
        <w:rPr>
          <w:rFonts w:ascii="Arial" w:hAnsi="Arial" w:cs="Arial"/>
          <w:sz w:val="22"/>
          <w:szCs w:val="22"/>
        </w:rPr>
      </w:pPr>
    </w:p>
    <w:p w14:paraId="67E22DCE" w14:textId="77777777" w:rsidR="006C74FD" w:rsidRDefault="006C74FD">
      <w:pPr>
        <w:numPr>
          <w:ilvl w:val="0"/>
          <w:numId w:val="3"/>
        </w:numPr>
        <w:rPr>
          <w:rFonts w:ascii="Arial" w:hAnsi="Arial" w:cs="Arial"/>
          <w:sz w:val="22"/>
          <w:szCs w:val="22"/>
        </w:rPr>
      </w:pPr>
      <w:r>
        <w:rPr>
          <w:rFonts w:ascii="Arial" w:hAnsi="Arial" w:cs="Arial"/>
          <w:sz w:val="22"/>
          <w:szCs w:val="22"/>
        </w:rPr>
        <w:t>Appropriate number of sampling transects (see notes on page 2)</w:t>
      </w:r>
    </w:p>
    <w:p w14:paraId="6B041BF0" w14:textId="77777777" w:rsidR="005C1E8B" w:rsidRDefault="00ED7E5F">
      <w:pPr>
        <w:numPr>
          <w:ilvl w:val="0"/>
          <w:numId w:val="3"/>
        </w:numPr>
        <w:rPr>
          <w:rFonts w:ascii="Arial" w:hAnsi="Arial" w:cs="Arial"/>
          <w:sz w:val="22"/>
          <w:szCs w:val="22"/>
        </w:rPr>
      </w:pPr>
      <w:r>
        <w:rPr>
          <w:rFonts w:ascii="Arial" w:hAnsi="Arial" w:cs="Arial"/>
          <w:sz w:val="22"/>
          <w:szCs w:val="22"/>
        </w:rPr>
        <w:t>Sample points representative of the plant community and landscape position being sampled (see notes on page 2)</w:t>
      </w:r>
    </w:p>
    <w:p w14:paraId="17B0B9CE" w14:textId="77777777" w:rsidR="006C74FD" w:rsidRDefault="006C74FD">
      <w:pPr>
        <w:numPr>
          <w:ilvl w:val="0"/>
          <w:numId w:val="3"/>
        </w:numPr>
        <w:rPr>
          <w:rFonts w:ascii="Arial" w:hAnsi="Arial" w:cs="Arial"/>
          <w:sz w:val="22"/>
          <w:szCs w:val="22"/>
        </w:rPr>
      </w:pPr>
      <w:r>
        <w:rPr>
          <w:rFonts w:ascii="Arial" w:hAnsi="Arial" w:cs="Arial"/>
          <w:sz w:val="22"/>
          <w:szCs w:val="22"/>
        </w:rPr>
        <w:t>Appropriate vegetation sample plot sizes used (see notes on page 2)</w:t>
      </w:r>
    </w:p>
    <w:p w14:paraId="71D4D1CD" w14:textId="77777777" w:rsidR="006C74FD" w:rsidRDefault="006C74FD">
      <w:pPr>
        <w:numPr>
          <w:ilvl w:val="0"/>
          <w:numId w:val="3"/>
        </w:numPr>
        <w:rPr>
          <w:rFonts w:ascii="Arial" w:hAnsi="Arial" w:cs="Arial"/>
          <w:sz w:val="22"/>
          <w:szCs w:val="22"/>
        </w:rPr>
      </w:pPr>
      <w:r>
        <w:rPr>
          <w:rFonts w:ascii="Arial" w:hAnsi="Arial" w:cs="Arial"/>
          <w:sz w:val="22"/>
          <w:szCs w:val="22"/>
        </w:rPr>
        <w:t>Vegetation properly identified and quantified</w:t>
      </w:r>
    </w:p>
    <w:p w14:paraId="0C8187A2" w14:textId="77777777" w:rsidR="006C74FD" w:rsidRDefault="006C74FD">
      <w:pPr>
        <w:numPr>
          <w:ilvl w:val="0"/>
          <w:numId w:val="3"/>
        </w:numPr>
        <w:rPr>
          <w:rFonts w:ascii="Arial" w:hAnsi="Arial" w:cs="Arial"/>
          <w:sz w:val="22"/>
          <w:szCs w:val="22"/>
        </w:rPr>
      </w:pPr>
      <w:r>
        <w:rPr>
          <w:rFonts w:ascii="Arial" w:hAnsi="Arial" w:cs="Arial"/>
          <w:sz w:val="22"/>
          <w:szCs w:val="22"/>
        </w:rPr>
        <w:t>Soil pits deep enough to document presence/absence of all potential hydric soil indicators</w:t>
      </w:r>
    </w:p>
    <w:p w14:paraId="603D0387" w14:textId="77777777" w:rsidR="006C74FD" w:rsidRDefault="006C74FD">
      <w:pPr>
        <w:numPr>
          <w:ilvl w:val="0"/>
          <w:numId w:val="3"/>
        </w:numPr>
        <w:rPr>
          <w:rFonts w:ascii="Arial" w:hAnsi="Arial" w:cs="Arial"/>
          <w:sz w:val="22"/>
          <w:szCs w:val="22"/>
        </w:rPr>
      </w:pPr>
      <w:r>
        <w:rPr>
          <w:rFonts w:ascii="Arial" w:hAnsi="Arial" w:cs="Arial"/>
          <w:sz w:val="22"/>
          <w:szCs w:val="22"/>
        </w:rPr>
        <w:t>Soil layers properly described in terms of texture, color, and redox features</w:t>
      </w:r>
    </w:p>
    <w:p w14:paraId="1FBD3C4B" w14:textId="77777777" w:rsidR="006C74FD" w:rsidRDefault="006C74FD">
      <w:pPr>
        <w:numPr>
          <w:ilvl w:val="0"/>
          <w:numId w:val="3"/>
        </w:numPr>
        <w:rPr>
          <w:rFonts w:ascii="Arial" w:hAnsi="Arial" w:cs="Arial"/>
          <w:sz w:val="22"/>
          <w:szCs w:val="22"/>
        </w:rPr>
      </w:pPr>
      <w:r>
        <w:rPr>
          <w:rFonts w:ascii="Arial" w:hAnsi="Arial" w:cs="Arial"/>
          <w:sz w:val="22"/>
          <w:szCs w:val="22"/>
        </w:rPr>
        <w:t>Hydric soil indicators properly applied</w:t>
      </w:r>
    </w:p>
    <w:p w14:paraId="39BED274" w14:textId="77777777" w:rsidR="006C74FD" w:rsidRDefault="006C74FD">
      <w:pPr>
        <w:numPr>
          <w:ilvl w:val="0"/>
          <w:numId w:val="3"/>
        </w:numPr>
        <w:rPr>
          <w:rFonts w:ascii="Arial" w:hAnsi="Arial" w:cs="Arial"/>
          <w:sz w:val="22"/>
          <w:szCs w:val="22"/>
        </w:rPr>
      </w:pPr>
      <w:r>
        <w:rPr>
          <w:rFonts w:ascii="Arial" w:hAnsi="Arial" w:cs="Arial"/>
          <w:sz w:val="22"/>
          <w:szCs w:val="22"/>
        </w:rPr>
        <w:t>Hydrology indicators properly applied (see notes on page 2)</w:t>
      </w:r>
    </w:p>
    <w:p w14:paraId="689C715F" w14:textId="77777777" w:rsidR="006C74FD" w:rsidRDefault="006C74FD">
      <w:pPr>
        <w:numPr>
          <w:ilvl w:val="0"/>
          <w:numId w:val="3"/>
        </w:numPr>
        <w:rPr>
          <w:rFonts w:ascii="Arial" w:hAnsi="Arial" w:cs="Arial"/>
          <w:sz w:val="22"/>
          <w:szCs w:val="22"/>
        </w:rPr>
      </w:pPr>
      <w:r>
        <w:rPr>
          <w:rFonts w:ascii="Arial" w:hAnsi="Arial" w:cs="Arial"/>
          <w:sz w:val="22"/>
          <w:szCs w:val="22"/>
        </w:rPr>
        <w:t>Delineation flag spacing appropriate (see notes on page 2)</w:t>
      </w:r>
    </w:p>
    <w:p w14:paraId="54B6436B" w14:textId="77777777" w:rsidR="006C74FD" w:rsidRDefault="006C74FD">
      <w:pPr>
        <w:ind w:left="360"/>
        <w:rPr>
          <w:rFonts w:ascii="Arial" w:hAnsi="Arial" w:cs="Arial"/>
          <w:b/>
          <w:sz w:val="28"/>
          <w:szCs w:val="28"/>
        </w:rPr>
      </w:pPr>
      <w:r>
        <w:rPr>
          <w:rFonts w:ascii="Arial" w:hAnsi="Arial" w:cs="Arial"/>
          <w:sz w:val="22"/>
          <w:szCs w:val="22"/>
        </w:rPr>
        <w:br w:type="page"/>
      </w:r>
      <w:r>
        <w:rPr>
          <w:rFonts w:ascii="Arial" w:hAnsi="Arial" w:cs="Arial"/>
          <w:b/>
          <w:sz w:val="28"/>
          <w:szCs w:val="28"/>
        </w:rPr>
        <w:lastRenderedPageBreak/>
        <w:t>Notes:</w:t>
      </w:r>
    </w:p>
    <w:p w14:paraId="6F454E03" w14:textId="77777777" w:rsidR="006C74FD" w:rsidRDefault="006C74FD">
      <w:pPr>
        <w:ind w:left="360"/>
        <w:rPr>
          <w:rFonts w:ascii="Arial" w:hAnsi="Arial" w:cs="Arial"/>
          <w:sz w:val="22"/>
          <w:szCs w:val="22"/>
        </w:rPr>
      </w:pPr>
    </w:p>
    <w:p w14:paraId="50CEC9BE" w14:textId="77777777" w:rsidR="006C74FD" w:rsidRDefault="006C74FD">
      <w:pPr>
        <w:ind w:left="360"/>
        <w:rPr>
          <w:rFonts w:ascii="Arial" w:hAnsi="Arial" w:cs="Arial"/>
          <w:sz w:val="22"/>
          <w:szCs w:val="22"/>
        </w:rPr>
      </w:pPr>
      <w:r>
        <w:rPr>
          <w:rFonts w:ascii="Arial" w:hAnsi="Arial" w:cs="Arial"/>
          <w:b/>
          <w:bCs/>
          <w:sz w:val="22"/>
          <w:szCs w:val="22"/>
        </w:rPr>
        <w:t>Sampling Transects</w:t>
      </w:r>
      <w:r>
        <w:rPr>
          <w:rFonts w:ascii="Arial" w:hAnsi="Arial" w:cs="Arial"/>
          <w:sz w:val="22"/>
          <w:szCs w:val="22"/>
        </w:rPr>
        <w:t xml:space="preserve"> – Typically, sampling transects should be located at each major upland/wetland transition area on the site. This may result in several transects on a single wetland or a single transect for 2 </w:t>
      </w:r>
      <w:r w:rsidR="00AF0867">
        <w:rPr>
          <w:rFonts w:ascii="Arial" w:hAnsi="Arial" w:cs="Arial"/>
          <w:sz w:val="22"/>
          <w:szCs w:val="22"/>
        </w:rPr>
        <w:t>similar</w:t>
      </w:r>
      <w:r>
        <w:rPr>
          <w:rFonts w:ascii="Arial" w:hAnsi="Arial" w:cs="Arial"/>
          <w:sz w:val="22"/>
          <w:szCs w:val="22"/>
        </w:rPr>
        <w:t xml:space="preserve"> wetlands depending on the characteristics of the site. </w:t>
      </w:r>
      <w:r w:rsidR="000C27F0">
        <w:rPr>
          <w:rFonts w:ascii="Arial" w:hAnsi="Arial" w:cs="Arial"/>
          <w:sz w:val="22"/>
          <w:szCs w:val="22"/>
        </w:rPr>
        <w:t>Delineators should carefully choose transect locations that are representative of the major wetland-upland transitions. More standardized approaches for establishing sampling transects are detailed in the 87 Manual and its supplements.</w:t>
      </w:r>
    </w:p>
    <w:p w14:paraId="281E5338" w14:textId="77777777" w:rsidR="006C74FD" w:rsidRDefault="006C74FD">
      <w:pPr>
        <w:ind w:left="360"/>
        <w:rPr>
          <w:rFonts w:ascii="Arial" w:hAnsi="Arial" w:cs="Arial"/>
          <w:sz w:val="22"/>
          <w:szCs w:val="22"/>
        </w:rPr>
      </w:pPr>
    </w:p>
    <w:p w14:paraId="2E6B52FA" w14:textId="77777777" w:rsidR="006C74FD" w:rsidRDefault="006C74FD">
      <w:pPr>
        <w:ind w:left="360"/>
        <w:rPr>
          <w:rFonts w:ascii="Arial" w:hAnsi="Arial" w:cs="Arial"/>
          <w:sz w:val="22"/>
          <w:szCs w:val="22"/>
        </w:rPr>
      </w:pPr>
      <w:r>
        <w:rPr>
          <w:rFonts w:ascii="Arial" w:hAnsi="Arial" w:cs="Arial"/>
          <w:b/>
          <w:bCs/>
          <w:sz w:val="22"/>
          <w:szCs w:val="22"/>
        </w:rPr>
        <w:t>Vegetation Sample Plot Sizes</w:t>
      </w:r>
      <w:r>
        <w:rPr>
          <w:rFonts w:ascii="Arial" w:hAnsi="Arial" w:cs="Arial"/>
          <w:sz w:val="22"/>
          <w:szCs w:val="22"/>
        </w:rPr>
        <w:t xml:space="preserve"> – Recommended sample plot sizes for vegetation are stated in the 87 Manual </w:t>
      </w:r>
      <w:r w:rsidR="000C27F0">
        <w:rPr>
          <w:rFonts w:ascii="Arial" w:hAnsi="Arial" w:cs="Arial"/>
          <w:sz w:val="22"/>
          <w:szCs w:val="22"/>
        </w:rPr>
        <w:t>s</w:t>
      </w:r>
      <w:r>
        <w:rPr>
          <w:rFonts w:ascii="Arial" w:hAnsi="Arial" w:cs="Arial"/>
          <w:sz w:val="22"/>
          <w:szCs w:val="22"/>
        </w:rPr>
        <w:t xml:space="preserve">upplements. In general, sizes are </w:t>
      </w:r>
      <w:r w:rsidR="00AF0867">
        <w:rPr>
          <w:rFonts w:ascii="Arial" w:hAnsi="Arial" w:cs="Arial"/>
          <w:sz w:val="22"/>
          <w:szCs w:val="22"/>
        </w:rPr>
        <w:t>5 ft. radius</w:t>
      </w:r>
      <w:r>
        <w:rPr>
          <w:rFonts w:ascii="Arial" w:hAnsi="Arial" w:cs="Arial"/>
          <w:sz w:val="22"/>
          <w:szCs w:val="22"/>
        </w:rPr>
        <w:t xml:space="preserve"> for herbaceous </w:t>
      </w:r>
      <w:r w:rsidR="00AF0867">
        <w:rPr>
          <w:rFonts w:ascii="Arial" w:hAnsi="Arial" w:cs="Arial"/>
          <w:sz w:val="22"/>
          <w:szCs w:val="22"/>
        </w:rPr>
        <w:t>layer</w:t>
      </w:r>
      <w:r>
        <w:rPr>
          <w:rFonts w:ascii="Arial" w:hAnsi="Arial" w:cs="Arial"/>
          <w:sz w:val="22"/>
          <w:szCs w:val="22"/>
        </w:rPr>
        <w:t xml:space="preserve">, 15 </w:t>
      </w:r>
      <w:r w:rsidR="00AF0867">
        <w:rPr>
          <w:rFonts w:ascii="Arial" w:hAnsi="Arial" w:cs="Arial"/>
          <w:sz w:val="22"/>
          <w:szCs w:val="22"/>
        </w:rPr>
        <w:t>ft.</w:t>
      </w:r>
      <w:r>
        <w:rPr>
          <w:rFonts w:ascii="Arial" w:hAnsi="Arial" w:cs="Arial"/>
          <w:sz w:val="22"/>
          <w:szCs w:val="22"/>
        </w:rPr>
        <w:t xml:space="preserve"> for shrub layer, and 30 </w:t>
      </w:r>
      <w:r w:rsidR="00AF0867">
        <w:rPr>
          <w:rFonts w:ascii="Arial" w:hAnsi="Arial" w:cs="Arial"/>
          <w:sz w:val="22"/>
          <w:szCs w:val="22"/>
        </w:rPr>
        <w:t>ft.</w:t>
      </w:r>
      <w:r>
        <w:rPr>
          <w:rFonts w:ascii="Arial" w:hAnsi="Arial" w:cs="Arial"/>
          <w:sz w:val="22"/>
          <w:szCs w:val="22"/>
        </w:rPr>
        <w:t xml:space="preserve"> for tree </w:t>
      </w:r>
      <w:r w:rsidR="00AF0867">
        <w:rPr>
          <w:rFonts w:ascii="Arial" w:hAnsi="Arial" w:cs="Arial"/>
          <w:sz w:val="22"/>
          <w:szCs w:val="22"/>
        </w:rPr>
        <w:t xml:space="preserve">and woody vine </w:t>
      </w:r>
      <w:r>
        <w:rPr>
          <w:rFonts w:ascii="Arial" w:hAnsi="Arial" w:cs="Arial"/>
          <w:sz w:val="22"/>
          <w:szCs w:val="22"/>
        </w:rPr>
        <w:t>layer</w:t>
      </w:r>
      <w:r w:rsidR="00AF0867">
        <w:rPr>
          <w:rFonts w:ascii="Arial" w:hAnsi="Arial" w:cs="Arial"/>
          <w:sz w:val="22"/>
          <w:szCs w:val="22"/>
        </w:rPr>
        <w:t>s</w:t>
      </w:r>
      <w:r>
        <w:rPr>
          <w:rFonts w:ascii="Arial" w:hAnsi="Arial" w:cs="Arial"/>
          <w:sz w:val="22"/>
          <w:szCs w:val="22"/>
        </w:rPr>
        <w:t>.</w:t>
      </w:r>
    </w:p>
    <w:p w14:paraId="665B0D2C" w14:textId="77777777" w:rsidR="006C74FD" w:rsidRDefault="006C74FD">
      <w:pPr>
        <w:ind w:left="360"/>
        <w:rPr>
          <w:rFonts w:ascii="Arial" w:hAnsi="Arial" w:cs="Arial"/>
          <w:sz w:val="22"/>
          <w:szCs w:val="22"/>
        </w:rPr>
      </w:pPr>
    </w:p>
    <w:p w14:paraId="4E152E58" w14:textId="77777777" w:rsidR="006C74FD" w:rsidRDefault="006C74FD">
      <w:pPr>
        <w:ind w:left="360"/>
        <w:rPr>
          <w:rFonts w:ascii="Arial" w:hAnsi="Arial" w:cs="Arial"/>
          <w:sz w:val="22"/>
          <w:szCs w:val="22"/>
        </w:rPr>
      </w:pPr>
      <w:r>
        <w:rPr>
          <w:rFonts w:ascii="Arial" w:hAnsi="Arial" w:cs="Arial"/>
          <w:b/>
          <w:bCs/>
          <w:sz w:val="22"/>
          <w:szCs w:val="22"/>
        </w:rPr>
        <w:t>Soil Sample Point Locations</w:t>
      </w:r>
      <w:r>
        <w:rPr>
          <w:rFonts w:ascii="Arial" w:hAnsi="Arial" w:cs="Arial"/>
          <w:sz w:val="22"/>
          <w:szCs w:val="22"/>
        </w:rPr>
        <w:t xml:space="preserve"> – Soil sample points should be indicative of the landscape position of the upland, wetland, or transition area being sample. For example, soil sample pits located in a micro-depression or on a small hill in an otherwise uniform topographic area </w:t>
      </w:r>
      <w:r w:rsidR="00ED7E5F">
        <w:rPr>
          <w:rFonts w:ascii="Arial" w:hAnsi="Arial" w:cs="Arial"/>
          <w:sz w:val="22"/>
          <w:szCs w:val="22"/>
        </w:rPr>
        <w:t>should not be considered representative</w:t>
      </w:r>
      <w:r>
        <w:rPr>
          <w:rFonts w:ascii="Arial" w:hAnsi="Arial" w:cs="Arial"/>
          <w:sz w:val="22"/>
          <w:szCs w:val="22"/>
        </w:rPr>
        <w:t>.</w:t>
      </w:r>
    </w:p>
    <w:p w14:paraId="1D9FCC40" w14:textId="77777777" w:rsidR="006C74FD" w:rsidRDefault="006C74FD">
      <w:pPr>
        <w:ind w:left="360"/>
        <w:rPr>
          <w:rFonts w:ascii="Arial" w:hAnsi="Arial" w:cs="Arial"/>
          <w:sz w:val="22"/>
          <w:szCs w:val="22"/>
        </w:rPr>
      </w:pPr>
    </w:p>
    <w:p w14:paraId="166B6468" w14:textId="77777777" w:rsidR="006C74FD" w:rsidRDefault="006C74FD">
      <w:pPr>
        <w:ind w:left="360"/>
        <w:rPr>
          <w:rFonts w:ascii="Arial" w:hAnsi="Arial" w:cs="Arial"/>
          <w:sz w:val="22"/>
          <w:szCs w:val="22"/>
        </w:rPr>
      </w:pPr>
      <w:r>
        <w:rPr>
          <w:rFonts w:ascii="Arial" w:hAnsi="Arial" w:cs="Arial"/>
          <w:b/>
          <w:bCs/>
          <w:sz w:val="22"/>
          <w:szCs w:val="22"/>
        </w:rPr>
        <w:t>Delineation Flag Spacing</w:t>
      </w:r>
      <w:r>
        <w:rPr>
          <w:rFonts w:ascii="Arial" w:hAnsi="Arial" w:cs="Arial"/>
          <w:sz w:val="22"/>
          <w:szCs w:val="22"/>
        </w:rPr>
        <w:t xml:space="preserve"> – The spacing of flags to delineate a wetland should be in accordance with the implied precision of the delineation. Wetlands with abrupt topographic and/or vegetative changes allow for more precise delineation and could result in spacing as low as 25 to 50 feet between flags. Wetlands with subtle topographic changes into upland and significant overlap of wetland and upland plant species generally result in wide spacing (50 to 100 feet) between flags. The greater the number of sampling transects documenting the upland-wetland transition, the closer together the flags can be.</w:t>
      </w:r>
    </w:p>
    <w:p w14:paraId="30F7A341" w14:textId="77777777" w:rsidR="006C74FD" w:rsidRDefault="006C74FD">
      <w:pPr>
        <w:ind w:left="360"/>
        <w:rPr>
          <w:rFonts w:ascii="Arial" w:hAnsi="Arial" w:cs="Arial"/>
          <w:sz w:val="22"/>
          <w:szCs w:val="22"/>
        </w:rPr>
      </w:pPr>
    </w:p>
    <w:p w14:paraId="273EB44E" w14:textId="77777777" w:rsidR="006C74FD" w:rsidRDefault="006C74FD">
      <w:pPr>
        <w:ind w:left="360"/>
        <w:rPr>
          <w:rFonts w:ascii="Arial" w:hAnsi="Arial" w:cs="Arial"/>
          <w:sz w:val="22"/>
          <w:szCs w:val="22"/>
        </w:rPr>
      </w:pPr>
      <w:r>
        <w:rPr>
          <w:rFonts w:ascii="Arial" w:hAnsi="Arial" w:cs="Arial"/>
          <w:b/>
          <w:bCs/>
          <w:sz w:val="22"/>
          <w:szCs w:val="22"/>
        </w:rPr>
        <w:t>Hydrology Indicators</w:t>
      </w:r>
      <w:r>
        <w:rPr>
          <w:rFonts w:ascii="Arial" w:hAnsi="Arial" w:cs="Arial"/>
          <w:sz w:val="22"/>
          <w:szCs w:val="22"/>
        </w:rPr>
        <w:t xml:space="preserve"> – </w:t>
      </w:r>
      <w:r w:rsidR="00BD09D6">
        <w:rPr>
          <w:rFonts w:ascii="Arial" w:hAnsi="Arial" w:cs="Arial"/>
          <w:sz w:val="22"/>
          <w:szCs w:val="22"/>
        </w:rPr>
        <w:t>Hydrology indicators are often ephemeral</w:t>
      </w:r>
      <w:r>
        <w:rPr>
          <w:rFonts w:ascii="Arial" w:hAnsi="Arial" w:cs="Arial"/>
          <w:sz w:val="22"/>
          <w:szCs w:val="22"/>
        </w:rPr>
        <w:t xml:space="preserve">. </w:t>
      </w:r>
      <w:r w:rsidR="00BD09D6">
        <w:rPr>
          <w:rFonts w:ascii="Arial" w:hAnsi="Arial" w:cs="Arial"/>
          <w:sz w:val="22"/>
          <w:szCs w:val="22"/>
        </w:rPr>
        <w:t>For e</w:t>
      </w:r>
      <w:r>
        <w:rPr>
          <w:rFonts w:ascii="Arial" w:hAnsi="Arial" w:cs="Arial"/>
          <w:sz w:val="22"/>
          <w:szCs w:val="22"/>
        </w:rPr>
        <w:t>xample</w:t>
      </w:r>
      <w:r w:rsidR="00BD09D6">
        <w:rPr>
          <w:rFonts w:ascii="Arial" w:hAnsi="Arial" w:cs="Arial"/>
          <w:sz w:val="22"/>
          <w:szCs w:val="22"/>
        </w:rPr>
        <w:t xml:space="preserve">, </w:t>
      </w:r>
      <w:r>
        <w:rPr>
          <w:rFonts w:ascii="Arial" w:hAnsi="Arial" w:cs="Arial"/>
          <w:sz w:val="22"/>
          <w:szCs w:val="22"/>
        </w:rPr>
        <w:t xml:space="preserve">observation of </w:t>
      </w:r>
      <w:r w:rsidR="00BD09D6">
        <w:rPr>
          <w:rFonts w:ascii="Arial" w:hAnsi="Arial" w:cs="Arial"/>
          <w:sz w:val="22"/>
          <w:szCs w:val="22"/>
        </w:rPr>
        <w:t>surface water may only be present during the wet portion of the growing season in normal precipitation years for some wetlands</w:t>
      </w:r>
      <w:r>
        <w:rPr>
          <w:rFonts w:ascii="Arial" w:hAnsi="Arial" w:cs="Arial"/>
          <w:sz w:val="22"/>
          <w:szCs w:val="22"/>
        </w:rPr>
        <w:t xml:space="preserve">. Once a wetland hydrology indicator is observed, it is an indicator and should be noted on the data form and in the wetland delineation report. For example, if water is observed within 6 inches of the soil surface after a heavy rain, it is an indicator of wetland hydrology even though subsequent observations after normal rainfall events may show a water table at 30 inches below the surface. </w:t>
      </w:r>
      <w:r w:rsidR="00897A75">
        <w:rPr>
          <w:rFonts w:ascii="Arial" w:hAnsi="Arial" w:cs="Arial"/>
          <w:sz w:val="22"/>
          <w:szCs w:val="22"/>
        </w:rPr>
        <w:t xml:space="preserve">These subsequent observations do not “cancel out” the first observation of the indicator. </w:t>
      </w:r>
      <w:r>
        <w:rPr>
          <w:rFonts w:ascii="Arial" w:hAnsi="Arial" w:cs="Arial"/>
          <w:sz w:val="22"/>
          <w:szCs w:val="22"/>
        </w:rPr>
        <w:t xml:space="preserve">If the indicator is observed, then it should be recorded. However, </w:t>
      </w:r>
      <w:r w:rsidR="00897A75">
        <w:rPr>
          <w:rFonts w:ascii="Arial" w:hAnsi="Arial" w:cs="Arial"/>
          <w:sz w:val="22"/>
          <w:szCs w:val="22"/>
        </w:rPr>
        <w:t xml:space="preserve">these </w:t>
      </w:r>
      <w:r>
        <w:rPr>
          <w:rFonts w:ascii="Arial" w:hAnsi="Arial" w:cs="Arial"/>
          <w:sz w:val="22"/>
          <w:szCs w:val="22"/>
        </w:rPr>
        <w:t xml:space="preserve">subsequent observations may help </w:t>
      </w:r>
      <w:r w:rsidR="00BD09D6">
        <w:rPr>
          <w:rFonts w:ascii="Arial" w:hAnsi="Arial" w:cs="Arial"/>
          <w:sz w:val="22"/>
          <w:szCs w:val="22"/>
        </w:rPr>
        <w:t xml:space="preserve">in understanding normal climatic variations that are important in </w:t>
      </w:r>
      <w:r w:rsidR="00BD09D6" w:rsidRPr="006C74FD">
        <w:rPr>
          <w:rFonts w:ascii="Arial" w:hAnsi="Arial" w:cs="Arial"/>
          <w:i/>
          <w:sz w:val="22"/>
          <w:szCs w:val="22"/>
        </w:rPr>
        <w:t>interpreting</w:t>
      </w:r>
      <w:r w:rsidR="00BD09D6">
        <w:rPr>
          <w:rFonts w:ascii="Arial" w:hAnsi="Arial" w:cs="Arial"/>
          <w:sz w:val="22"/>
          <w:szCs w:val="22"/>
        </w:rPr>
        <w:t xml:space="preserve"> hydrology indicators. Refer to the 87 Manual and its applicable supplement for sources and methodologies </w:t>
      </w:r>
      <w:r>
        <w:rPr>
          <w:rFonts w:ascii="Arial" w:hAnsi="Arial" w:cs="Arial"/>
          <w:sz w:val="22"/>
          <w:szCs w:val="22"/>
        </w:rPr>
        <w:t>to interpret</w:t>
      </w:r>
      <w:r w:rsidR="00BD09D6">
        <w:rPr>
          <w:rFonts w:ascii="Arial" w:hAnsi="Arial" w:cs="Arial"/>
          <w:sz w:val="22"/>
          <w:szCs w:val="22"/>
        </w:rPr>
        <w:t xml:space="preserve"> hydrology indicators </w:t>
      </w:r>
      <w:r>
        <w:rPr>
          <w:rFonts w:ascii="Arial" w:hAnsi="Arial" w:cs="Arial"/>
          <w:sz w:val="22"/>
          <w:szCs w:val="22"/>
        </w:rPr>
        <w:t>in</w:t>
      </w:r>
      <w:r w:rsidR="00BD09D6">
        <w:rPr>
          <w:rFonts w:ascii="Arial" w:hAnsi="Arial" w:cs="Arial"/>
          <w:sz w:val="22"/>
          <w:szCs w:val="22"/>
        </w:rPr>
        <w:t xml:space="preserve"> making wetland determinations.</w:t>
      </w:r>
    </w:p>
    <w:p w14:paraId="2B97D6F3" w14:textId="77777777" w:rsidR="006124D6" w:rsidRDefault="006124D6">
      <w:pPr>
        <w:ind w:left="360"/>
        <w:rPr>
          <w:rFonts w:ascii="Arial" w:hAnsi="Arial" w:cs="Arial"/>
          <w:sz w:val="22"/>
          <w:szCs w:val="22"/>
        </w:rPr>
      </w:pPr>
    </w:p>
    <w:p w14:paraId="7B1DEE1B" w14:textId="77777777" w:rsidR="006124D6" w:rsidRPr="006124D6" w:rsidRDefault="006124D6">
      <w:pPr>
        <w:ind w:left="360"/>
        <w:rPr>
          <w:rFonts w:ascii="Arial" w:hAnsi="Arial" w:cs="Arial"/>
          <w:sz w:val="22"/>
          <w:szCs w:val="22"/>
        </w:rPr>
      </w:pPr>
      <w:r>
        <w:rPr>
          <w:rFonts w:ascii="Arial" w:hAnsi="Arial" w:cs="Arial"/>
          <w:b/>
          <w:sz w:val="22"/>
          <w:szCs w:val="22"/>
        </w:rPr>
        <w:t>Regional Supplements</w:t>
      </w:r>
      <w:r>
        <w:rPr>
          <w:rFonts w:ascii="Arial" w:hAnsi="Arial" w:cs="Arial"/>
          <w:sz w:val="22"/>
          <w:szCs w:val="22"/>
        </w:rPr>
        <w:t xml:space="preserve"> – The regional supplements to the 1987 Manual </w:t>
      </w:r>
      <w:r w:rsidR="007E4F4C">
        <w:rPr>
          <w:rFonts w:ascii="Arial" w:hAnsi="Arial" w:cs="Arial"/>
          <w:sz w:val="22"/>
          <w:szCs w:val="22"/>
        </w:rPr>
        <w:t xml:space="preserve">are now or soon will be in effect for the State. These supplements are designed for use with the current version of the 87 Manual and should be utilized for conducting wetland delineations in </w:t>
      </w:r>
      <w:smartTag w:uri="urn:schemas-microsoft-com:office:smarttags" w:element="State">
        <w:smartTag w:uri="urn:schemas-microsoft-com:office:smarttags" w:element="place">
          <w:r w:rsidR="007E4F4C">
            <w:rPr>
              <w:rFonts w:ascii="Arial" w:hAnsi="Arial" w:cs="Arial"/>
              <w:sz w:val="22"/>
              <w:szCs w:val="22"/>
            </w:rPr>
            <w:t>Minnesota</w:t>
          </w:r>
        </w:smartTag>
      </w:smartTag>
      <w:r w:rsidR="007E4F4C">
        <w:rPr>
          <w:rFonts w:ascii="Arial" w:hAnsi="Arial" w:cs="Arial"/>
          <w:sz w:val="22"/>
          <w:szCs w:val="22"/>
        </w:rPr>
        <w:t xml:space="preserve">. </w:t>
      </w:r>
    </w:p>
    <w:p w14:paraId="46448D1A" w14:textId="77777777" w:rsidR="006C74FD" w:rsidRDefault="006C74FD">
      <w:pPr>
        <w:rPr>
          <w:rFonts w:ascii="Arial" w:hAnsi="Arial" w:cs="Arial"/>
          <w:sz w:val="22"/>
          <w:szCs w:val="22"/>
        </w:rPr>
      </w:pPr>
    </w:p>
    <w:p w14:paraId="4EE5EBB2" w14:textId="77777777" w:rsidR="006124D6" w:rsidRDefault="006124D6">
      <w:pPr>
        <w:rPr>
          <w:rFonts w:ascii="Arial" w:hAnsi="Arial" w:cs="Arial"/>
          <w:sz w:val="22"/>
          <w:szCs w:val="22"/>
        </w:rPr>
      </w:pPr>
    </w:p>
    <w:p w14:paraId="658FEFEB" w14:textId="77777777" w:rsidR="006C74FD" w:rsidRDefault="006C74FD">
      <w:pPr>
        <w:rPr>
          <w:sz w:val="22"/>
          <w:szCs w:val="22"/>
        </w:rPr>
      </w:pPr>
    </w:p>
    <w:sectPr w:rsidR="006C74FD" w:rsidSect="005C1E8B">
      <w:footerReference w:type="default" r:id="rId8"/>
      <w:pgSz w:w="12240" w:h="15840"/>
      <w:pgMar w:top="864" w:right="576"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55D4C" w14:textId="77777777" w:rsidR="00214889" w:rsidRDefault="00214889">
      <w:r>
        <w:separator/>
      </w:r>
    </w:p>
  </w:endnote>
  <w:endnote w:type="continuationSeparator" w:id="0">
    <w:p w14:paraId="44E00481" w14:textId="77777777" w:rsidR="00214889" w:rsidRDefault="0021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45A7" w14:textId="77777777" w:rsidR="00C96E42" w:rsidRPr="00E46E24" w:rsidRDefault="00C96E42" w:rsidP="00E46E24">
    <w:pPr>
      <w:pStyle w:val="Footer"/>
      <w:jc w:val="center"/>
      <w:rPr>
        <w:rFonts w:ascii="Arial" w:hAnsi="Arial" w:cs="Arial"/>
        <w:sz w:val="22"/>
        <w:szCs w:val="22"/>
      </w:rPr>
    </w:pPr>
    <w:r w:rsidRPr="00E46E24">
      <w:rPr>
        <w:rFonts w:ascii="Arial" w:hAnsi="Arial" w:cs="Arial"/>
        <w:sz w:val="22"/>
        <w:szCs w:val="22"/>
      </w:rPr>
      <w:t>BWSR Checklist</w:t>
    </w:r>
    <w:r w:rsidRPr="00E46E24">
      <w:rPr>
        <w:rFonts w:ascii="Arial" w:hAnsi="Arial" w:cs="Arial"/>
        <w:sz w:val="22"/>
        <w:szCs w:val="22"/>
      </w:rPr>
      <w:tab/>
      <w:t xml:space="preserve">Page </w:t>
    </w:r>
    <w:r w:rsidRPr="00E46E24">
      <w:rPr>
        <w:rFonts w:ascii="Arial" w:hAnsi="Arial" w:cs="Arial"/>
        <w:sz w:val="22"/>
        <w:szCs w:val="22"/>
      </w:rPr>
      <w:fldChar w:fldCharType="begin"/>
    </w:r>
    <w:r w:rsidRPr="00E46E24">
      <w:rPr>
        <w:rFonts w:ascii="Arial" w:hAnsi="Arial" w:cs="Arial"/>
        <w:sz w:val="22"/>
        <w:szCs w:val="22"/>
      </w:rPr>
      <w:instrText xml:space="preserve"> PAGE </w:instrText>
    </w:r>
    <w:r w:rsidRPr="00E46E24">
      <w:rPr>
        <w:rFonts w:ascii="Arial" w:hAnsi="Arial" w:cs="Arial"/>
        <w:sz w:val="22"/>
        <w:szCs w:val="22"/>
      </w:rPr>
      <w:fldChar w:fldCharType="separate"/>
    </w:r>
    <w:r w:rsidR="002756FA">
      <w:rPr>
        <w:rFonts w:ascii="Arial" w:hAnsi="Arial" w:cs="Arial"/>
        <w:noProof/>
        <w:sz w:val="22"/>
        <w:szCs w:val="22"/>
      </w:rPr>
      <w:t>2</w:t>
    </w:r>
    <w:r w:rsidRPr="00E46E24">
      <w:rPr>
        <w:rFonts w:ascii="Arial" w:hAnsi="Arial" w:cs="Arial"/>
        <w:sz w:val="22"/>
        <w:szCs w:val="22"/>
      </w:rPr>
      <w:fldChar w:fldCharType="end"/>
    </w:r>
    <w:r w:rsidRPr="00E46E24">
      <w:rPr>
        <w:rFonts w:ascii="Arial" w:hAnsi="Arial" w:cs="Arial"/>
        <w:sz w:val="22"/>
        <w:szCs w:val="22"/>
      </w:rPr>
      <w:tab/>
    </w:r>
    <w:r w:rsidRPr="00E46E24">
      <w:rPr>
        <w:rFonts w:ascii="Arial" w:hAnsi="Arial" w:cs="Arial"/>
        <w:sz w:val="22"/>
        <w:szCs w:val="22"/>
      </w:rPr>
      <w:fldChar w:fldCharType="begin"/>
    </w:r>
    <w:r w:rsidRPr="00E46E24">
      <w:rPr>
        <w:rFonts w:ascii="Arial" w:hAnsi="Arial" w:cs="Arial"/>
        <w:sz w:val="22"/>
        <w:szCs w:val="22"/>
      </w:rPr>
      <w:instrText xml:space="preserve"> DATE \@ "M/d/yyyy" </w:instrText>
    </w:r>
    <w:r w:rsidRPr="00E46E24">
      <w:rPr>
        <w:rFonts w:ascii="Arial" w:hAnsi="Arial" w:cs="Arial"/>
        <w:sz w:val="22"/>
        <w:szCs w:val="22"/>
      </w:rPr>
      <w:fldChar w:fldCharType="separate"/>
    </w:r>
    <w:r w:rsidR="00D2634F">
      <w:rPr>
        <w:rFonts w:ascii="Arial" w:hAnsi="Arial" w:cs="Arial"/>
        <w:noProof/>
        <w:sz w:val="22"/>
        <w:szCs w:val="22"/>
      </w:rPr>
      <w:t>11/12/2019</w:t>
    </w:r>
    <w:r w:rsidRPr="00E46E2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E58F" w14:textId="77777777" w:rsidR="00214889" w:rsidRDefault="00214889">
      <w:r>
        <w:separator/>
      </w:r>
    </w:p>
  </w:footnote>
  <w:footnote w:type="continuationSeparator" w:id="0">
    <w:p w14:paraId="3D0C0B4E" w14:textId="77777777" w:rsidR="00214889" w:rsidRDefault="0021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9AE"/>
    <w:multiLevelType w:val="hybridMultilevel"/>
    <w:tmpl w:val="286AD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56B9B"/>
    <w:multiLevelType w:val="multilevel"/>
    <w:tmpl w:val="BDBE98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22538"/>
    <w:multiLevelType w:val="hybridMultilevel"/>
    <w:tmpl w:val="2DBE341E"/>
    <w:lvl w:ilvl="0" w:tplc="D5B41CF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351A28"/>
    <w:multiLevelType w:val="hybridMultilevel"/>
    <w:tmpl w:val="3704D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6459A8"/>
    <w:multiLevelType w:val="multilevel"/>
    <w:tmpl w:val="B6C2CE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0B6510"/>
    <w:multiLevelType w:val="hybridMultilevel"/>
    <w:tmpl w:val="B6C2CE78"/>
    <w:lvl w:ilvl="0" w:tplc="D5B41C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57BE5"/>
    <w:multiLevelType w:val="hybridMultilevel"/>
    <w:tmpl w:val="BDBE9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D6"/>
    <w:rsid w:val="000C27F0"/>
    <w:rsid w:val="000D1BEB"/>
    <w:rsid w:val="00214889"/>
    <w:rsid w:val="002756FA"/>
    <w:rsid w:val="002C734A"/>
    <w:rsid w:val="005C1E8B"/>
    <w:rsid w:val="006124D6"/>
    <w:rsid w:val="006C74FD"/>
    <w:rsid w:val="007E4F4C"/>
    <w:rsid w:val="007E561F"/>
    <w:rsid w:val="00897A75"/>
    <w:rsid w:val="008B12C0"/>
    <w:rsid w:val="009D1B5E"/>
    <w:rsid w:val="00AF0867"/>
    <w:rsid w:val="00BD09D6"/>
    <w:rsid w:val="00C96E42"/>
    <w:rsid w:val="00D2634F"/>
    <w:rsid w:val="00E46E24"/>
    <w:rsid w:val="00ED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B41E93A"/>
  <w15:chartTrackingRefBased/>
  <w15:docId w15:val="{C4FAFE4B-9C80-4EA9-A173-73065827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rFonts w:ascii="Arial" w:hAnsi="Arial" w:cs="Arial"/>
      <w:sz w:val="22"/>
    </w:rPr>
  </w:style>
  <w:style w:type="paragraph" w:styleId="BodyText">
    <w:name w:val="Body Text"/>
    <w:basedOn w:val="Normal"/>
    <w:rPr>
      <w:rFonts w:ascii="Arial" w:hAnsi="Arial" w:cs="Arial"/>
      <w:sz w:val="22"/>
    </w:rPr>
  </w:style>
  <w:style w:type="character" w:styleId="Hyperlink">
    <w:name w:val="Hyperlink"/>
    <w:rPr>
      <w:color w:val="0000FF"/>
      <w:u w:val="single"/>
    </w:rPr>
  </w:style>
  <w:style w:type="paragraph" w:styleId="Header">
    <w:name w:val="header"/>
    <w:basedOn w:val="Normal"/>
    <w:rsid w:val="00E46E24"/>
    <w:pPr>
      <w:tabs>
        <w:tab w:val="center" w:pos="4320"/>
        <w:tab w:val="right" w:pos="8640"/>
      </w:tabs>
    </w:pPr>
  </w:style>
  <w:style w:type="paragraph" w:styleId="Footer">
    <w:name w:val="footer"/>
    <w:basedOn w:val="Normal"/>
    <w:rsid w:val="00E46E24"/>
    <w:pPr>
      <w:tabs>
        <w:tab w:val="center" w:pos="4320"/>
        <w:tab w:val="right" w:pos="8640"/>
      </w:tabs>
    </w:pPr>
  </w:style>
  <w:style w:type="character" w:styleId="PageNumber">
    <w:name w:val="page number"/>
    <w:basedOn w:val="DefaultParagraphFont"/>
    <w:rsid w:val="00E4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soilsurvey.nrcs.usda.gov/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Wetland Replacement Vegetation Management Plan Checklist</vt:lpstr>
    </vt:vector>
  </TitlesOfParts>
  <Company>BWSR</Company>
  <LinksUpToDate>false</LinksUpToDate>
  <CharactersWithSpaces>5986</CharactersWithSpaces>
  <SharedDoc>false</SharedDoc>
  <HLinks>
    <vt:vector size="6" baseType="variant">
      <vt:variant>
        <vt:i4>7733298</vt:i4>
      </vt:variant>
      <vt:variant>
        <vt:i4>0</vt:i4>
      </vt:variant>
      <vt:variant>
        <vt:i4>0</vt:i4>
      </vt:variant>
      <vt:variant>
        <vt:i4>5</vt:i4>
      </vt:variant>
      <vt:variant>
        <vt:lpwstr>http://websoilsurvey.nrcs.usda.gov/app/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 Replacement Vegetation Management Plan Checklist</dc:title>
  <dc:subject/>
  <dc:creator>kpowell</dc:creator>
  <cp:keywords/>
  <dc:description/>
  <cp:lastModifiedBy>Powell, Ken (BWSR)</cp:lastModifiedBy>
  <cp:revision>2</cp:revision>
  <cp:lastPrinted>2019-11-12T20:24:00Z</cp:lastPrinted>
  <dcterms:created xsi:type="dcterms:W3CDTF">2019-11-12T20:25:00Z</dcterms:created>
  <dcterms:modified xsi:type="dcterms:W3CDTF">2019-11-12T20:25:00Z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-1947127742</vt:i4>
  </property>
  <property fmtid="{D5CDD505-2E9C-101B-9397-08002B2CF9AE}" pid="3" name="_NewReviewCycle">
    <vt:lpwstr/>
  </property>
  <property fmtid="{D5CDD505-2E9C-101B-9397-08002B2CF9AE}" pid="4" name="_EmailSubject">
    <vt:lpwstr>wet rpt checklist</vt:lpwstr>
  </property>
  <property fmtid="{D5CDD505-2E9C-101B-9397-08002B2CF9AE}" pid="5" name="_AuthorEmail">
    <vt:lpwstr>Ken.Powell@admin.state.mn.us</vt:lpwstr>
  </property>
  <property fmtid="{D5CDD505-2E9C-101B-9397-08002B2CF9AE}" pid="6" name="_AuthorEmailDisplayName">
    <vt:lpwstr>Ken Powell</vt:lpwstr>
  </property>
  <property fmtid="{D5CDD505-2E9C-101B-9397-08002B2CF9AE}" pid="7" name="_ReviewingToolsShownOnce">
    <vt:lpwstr/>
  </property>
</Properties>
</file>