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6916" w:rsidR="005559D8" w:rsidP="005559D8" w:rsidRDefault="005559D8" w14:paraId="1CAA388B" w14:textId="29316806">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w:t>
      </w:r>
      <w:r>
        <w:rPr>
          <w:rFonts w:asciiTheme="majorHAnsi" w:hAnsiTheme="majorHAnsi" w:cstheme="majorHAnsi"/>
          <w:b/>
          <w:bCs/>
          <w:sz w:val="48"/>
          <w:szCs w:val="48"/>
        </w:rPr>
        <w:t>Northwest</w:t>
      </w:r>
      <w:r w:rsidRPr="00F16916">
        <w:rPr>
          <w:rFonts w:asciiTheme="majorHAnsi" w:hAnsiTheme="majorHAnsi" w:cstheme="majorHAnsi"/>
          <w:b/>
          <w:bCs/>
          <w:sz w:val="48"/>
          <w:szCs w:val="48"/>
        </w:rPr>
        <w:t xml:space="preserve"> </w:t>
      </w:r>
      <w:bookmarkStart w:name="_Hlk141788526" w:id="0"/>
      <w:bookmarkEnd w:id="0"/>
      <w:r w:rsidRPr="00F16916">
        <w:rPr>
          <w:rFonts w:asciiTheme="majorHAnsi" w:hAnsiTheme="majorHAnsi" w:cstheme="majorHAnsi"/>
          <w:b/>
          <w:bCs/>
          <w:sz w:val="48"/>
          <w:szCs w:val="48"/>
        </w:rPr>
        <w:t>36-</w:t>
      </w:r>
      <w:r>
        <w:rPr>
          <w:rFonts w:asciiTheme="majorHAnsi" w:hAnsiTheme="majorHAnsi" w:cstheme="majorHAnsi"/>
          <w:b/>
          <w:bCs/>
          <w:sz w:val="48"/>
          <w:szCs w:val="48"/>
        </w:rPr>
        <w:t>4</w:t>
      </w:r>
      <w:r w:rsidRPr="00F16916">
        <w:rPr>
          <w:rFonts w:asciiTheme="majorHAnsi" w:hAnsiTheme="majorHAnsi" w:cstheme="majorHAnsi"/>
          <w:b/>
          <w:bCs/>
          <w:sz w:val="48"/>
          <w:szCs w:val="48"/>
        </w:rPr>
        <w:t>11</w:t>
      </w:r>
    </w:p>
    <w:p w:rsidR="005559D8" w:rsidP="005559D8" w:rsidRDefault="005559D8" w14:paraId="4947EEA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542146" w:rsidR="005559D8" w:rsidP="005559D8" w:rsidRDefault="005559D8" w14:paraId="679B8BC7" w14:textId="77777777">
      <w:pPr>
        <w:pStyle w:val="paragraph"/>
        <w:spacing w:before="0" w:beforeAutospacing="0" w:after="0" w:afterAutospacing="0"/>
        <w:textAlignment w:val="baseline"/>
        <w:rPr>
          <w:rFonts w:asciiTheme="minorHAnsi" w:hAnsiTheme="minorHAnsi" w:cstheme="minorHAnsi"/>
          <w:sz w:val="18"/>
          <w:szCs w:val="18"/>
        </w:rPr>
      </w:pPr>
      <w:r w:rsidRPr="37B4B872">
        <w:rPr>
          <w:rStyle w:val="normaltextrun"/>
          <w:rFonts w:asciiTheme="minorHAnsi" w:hAnsiTheme="minorHAnsi" w:cstheme="minorBidi"/>
          <w:sz w:val="22"/>
          <w:szCs w:val="22"/>
        </w:rPr>
        <w:t>Updated: 2021</w:t>
      </w:r>
      <w:r w:rsidRPr="37B4B872">
        <w:rPr>
          <w:rStyle w:val="eop"/>
          <w:rFonts w:asciiTheme="minorHAnsi" w:hAnsiTheme="minorHAnsi" w:cstheme="minorBidi"/>
          <w:sz w:val="22"/>
          <w:szCs w:val="22"/>
        </w:rPr>
        <w:t> </w:t>
      </w:r>
    </w:p>
    <w:p w:rsidRPr="00542146" w:rsidR="005559D8" w:rsidP="75510C49" w:rsidRDefault="751DE9A0" w14:paraId="5966426C" w14:textId="1C1D4880">
      <w:pPr>
        <w:spacing w:before="120"/>
        <w:textAlignment w:val="baseline"/>
        <w:rPr>
          <w:rFonts w:asciiTheme="minorHAnsi" w:hAnsiTheme="minorHAnsi" w:cstheme="minorBidi"/>
          <w:sz w:val="18"/>
          <w:szCs w:val="18"/>
        </w:rPr>
      </w:pPr>
      <w:r w:rsidRPr="75510C49">
        <w:rPr>
          <w:rStyle w:val="normaltextrun"/>
          <w:rFonts w:eastAsia="Calibri"/>
          <w:color w:val="000000" w:themeColor="text1"/>
        </w:rPr>
        <w:t>This woodland edge mix has been designed for Northwest Minnesota in areas with dry to mesic soils and part sun for at least 50% of the day where land is being converted from other uses such as lawn, or agricultural fields like row crops or pasture.</w:t>
      </w:r>
    </w:p>
    <w:p w:rsidRPr="00542146" w:rsidR="005559D8" w:rsidP="75510C49" w:rsidRDefault="0ABA3FC6" w14:paraId="095267EB" w14:textId="692433AC">
      <w:pPr>
        <w:spacing w:before="120"/>
        <w:textAlignment w:val="baseline"/>
      </w:pPr>
      <w:r>
        <w:rPr>
          <w:noProof/>
        </w:rPr>
        <w:drawing>
          <wp:inline distT="0" distB="0" distL="0" distR="0" wp14:anchorId="2DF28CE3" wp14:editId="31CE6391">
            <wp:extent cx="4572000" cy="1019175"/>
            <wp:effectExtent l="0" t="0" r="0" b="0"/>
            <wp:docPr id="1775539843" name="Picture 177553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r w:rsidR="005559D8">
        <w:br/>
      </w:r>
    </w:p>
    <w:p w:rsidR="00F27416" w:rsidP="66C4687F" w:rsidRDefault="005559D8" w14:paraId="7B1B842A" w14:textId="6AB32148">
      <w:pPr>
        <w:spacing w:before="120"/>
        <w:textAlignment w:val="baseline"/>
        <w:rPr>
          <w:rStyle w:val="eop"/>
          <w:rFonts w:ascii="Calibri" w:hAnsi="Calibri" w:cs="" w:asciiTheme="minorAscii" w:hAnsiTheme="minorAscii" w:cstheme="minorBidi"/>
        </w:rPr>
      </w:pPr>
      <w:r w:rsidRPr="66C4687F" w:rsidR="005559D8">
        <w:rPr>
          <w:rStyle w:val="normaltextrun"/>
          <w:rFonts w:ascii="Calibri" w:hAnsi="Calibri" w:cs="" w:asciiTheme="minorAscii" w:hAnsiTheme="minorAscii" w:cstheme="minorBidi"/>
        </w:rPr>
        <w:t>Partners also include collaboration among Non-profits, Seed vendors, SWCD, Tribal Governments, Consultants, County and Cities. (</w:t>
      </w:r>
      <w:r w:rsidRPr="66C4687F" w:rsidR="005559D8">
        <w:rPr>
          <w:rStyle w:val="contextualspellingandgrammarerror"/>
          <w:rFonts w:ascii="Calibri" w:hAnsi="Calibri" w:cs="" w:asciiTheme="minorAscii" w:hAnsiTheme="minorAscii" w:cstheme="minorBidi"/>
        </w:rPr>
        <w:t>See</w:t>
      </w:r>
      <w:r w:rsidRPr="66C4687F" w:rsidR="005559D8">
        <w:rPr>
          <w:rStyle w:val="normaltextrun"/>
          <w:rFonts w:ascii="Calibri" w:hAnsi="Calibri" w:cs="" w:asciiTheme="minorAscii" w:hAnsiTheme="minorAscii" w:cstheme="minorBidi"/>
        </w:rPr>
        <w:t xml:space="preserve"> partners list on </w:t>
      </w:r>
      <w:hyperlink r:id="R545318327aa54f1e">
        <w:r w:rsidRPr="66C4687F" w:rsidR="005559D8">
          <w:rPr>
            <w:rStyle w:val="normaltextrun"/>
            <w:rFonts w:ascii="Calibri" w:hAnsi="Calibri" w:cs="" w:asciiTheme="minorAscii" w:hAnsiTheme="minorAscii" w:cstheme="minorBidi"/>
            <w:color w:val="0563C1"/>
            <w:u w:val="single"/>
          </w:rPr>
          <w:t>website</w:t>
        </w:r>
      </w:hyperlink>
      <w:r w:rsidRPr="66C4687F" w:rsidR="005559D8">
        <w:rPr>
          <w:rStyle w:val="normaltextrun"/>
          <w:rFonts w:ascii="Calibri" w:hAnsi="Calibri" w:cs="" w:asciiTheme="minorAscii" w:hAnsiTheme="minorAscii" w:cstheme="minorBidi"/>
        </w:rPr>
        <w:t>)</w:t>
      </w:r>
      <w:r w:rsidRPr="66C4687F" w:rsidR="005559D8">
        <w:rPr>
          <w:rStyle w:val="eop"/>
          <w:rFonts w:ascii="Calibri" w:hAnsi="Calibri" w:cs="" w:asciiTheme="minorAscii" w:hAnsiTheme="minorAscii" w:cstheme="minorBidi"/>
        </w:rPr>
        <w:t> </w:t>
      </w:r>
    </w:p>
    <w:p w:rsidR="00F27416" w:rsidP="00F27416" w:rsidRDefault="00F27416" w14:paraId="419C7746" w14:textId="77777777">
      <w:pPr>
        <w:spacing w:before="120"/>
        <w:textAlignment w:val="baseline"/>
        <w:rPr>
          <w:rStyle w:val="eop"/>
          <w:rFonts w:asciiTheme="minorHAnsi" w:hAnsiTheme="minorHAnsi" w:cstheme="minorBidi"/>
        </w:rPr>
      </w:pPr>
    </w:p>
    <w:tbl>
      <w:tblPr>
        <w:tblW w:w="9630" w:type="dxa"/>
        <w:tblInd w:w="-270" w:type="dxa"/>
        <w:tblLook w:val="04A0" w:firstRow="1" w:lastRow="0" w:firstColumn="1" w:lastColumn="0" w:noHBand="0" w:noVBand="1"/>
      </w:tblPr>
      <w:tblGrid>
        <w:gridCol w:w="988"/>
        <w:gridCol w:w="2072"/>
        <w:gridCol w:w="2646"/>
        <w:gridCol w:w="717"/>
        <w:gridCol w:w="1006"/>
        <w:gridCol w:w="1106"/>
        <w:gridCol w:w="1106"/>
      </w:tblGrid>
      <w:tr w:rsidRPr="00F27416" w:rsidR="00F27416" w:rsidTr="00870FDE" w14:paraId="0F1F3E0F" w14:textId="77777777">
        <w:trPr>
          <w:trHeight w:val="255"/>
        </w:trPr>
        <w:tc>
          <w:tcPr>
            <w:tcW w:w="988" w:type="dxa"/>
            <w:tcBorders>
              <w:top w:val="nil"/>
              <w:left w:val="nil"/>
              <w:bottom w:val="nil"/>
              <w:right w:val="nil"/>
            </w:tcBorders>
            <w:shd w:val="clear" w:color="auto" w:fill="auto"/>
            <w:noWrap/>
            <w:vAlign w:val="bottom"/>
            <w:hideMark/>
          </w:tcPr>
          <w:p w:rsidRPr="00F27416" w:rsidR="00F27416" w:rsidP="00F27416" w:rsidRDefault="00F27416" w14:paraId="1D1CA984" w14:textId="77777777">
            <w:pPr>
              <w:rPr>
                <w:rFonts w:ascii="Times New Roman" w:hAnsi="Times New Roman" w:eastAsia="Times New Roman" w:cs="Times New Roman"/>
                <w:sz w:val="24"/>
                <w:szCs w:val="24"/>
              </w:rPr>
            </w:pPr>
            <w:bookmarkStart w:name="RANGE!A1" w:id="1"/>
            <w:bookmarkEnd w:id="1"/>
          </w:p>
        </w:tc>
        <w:tc>
          <w:tcPr>
            <w:tcW w:w="2072" w:type="dxa"/>
            <w:tcBorders>
              <w:top w:val="nil"/>
              <w:left w:val="nil"/>
              <w:bottom w:val="nil"/>
              <w:right w:val="nil"/>
            </w:tcBorders>
            <w:shd w:val="clear" w:color="auto" w:fill="auto"/>
            <w:noWrap/>
            <w:vAlign w:val="bottom"/>
            <w:hideMark/>
          </w:tcPr>
          <w:p w:rsidRPr="00F27416" w:rsidR="00F27416" w:rsidP="00F27416" w:rsidRDefault="00F27416" w14:paraId="6F9FF209" w14:textId="5F7EF5F0">
            <w:pPr>
              <w:rPr>
                <w:rFonts w:ascii="Arial" w:hAnsi="Arial" w:eastAsia="Times New Roman" w:cs="Arial"/>
                <w:b/>
                <w:bCs/>
                <w:color w:val="000000"/>
                <w:sz w:val="20"/>
                <w:szCs w:val="20"/>
              </w:rPr>
            </w:pPr>
            <w:bookmarkStart w:name="RANGE!B1:G37" w:id="2"/>
            <w:r w:rsidRPr="00F27416">
              <w:rPr>
                <w:rFonts w:ascii="Arial" w:hAnsi="Arial" w:eastAsia="Times New Roman" w:cs="Arial"/>
                <w:b/>
                <w:bCs/>
                <w:color w:val="000000"/>
                <w:sz w:val="20"/>
                <w:szCs w:val="20"/>
              </w:rPr>
              <w:t>36-41</w:t>
            </w:r>
            <w:bookmarkEnd w:id="2"/>
            <w:r w:rsidR="00870FDE">
              <w:rPr>
                <w:rFonts w:ascii="Arial" w:hAnsi="Arial" w:eastAsia="Times New Roman" w:cs="Arial"/>
                <w:b/>
                <w:bCs/>
                <w:color w:val="000000"/>
                <w:sz w:val="20"/>
                <w:szCs w:val="20"/>
              </w:rPr>
              <w:t>1</w:t>
            </w:r>
          </w:p>
        </w:tc>
        <w:tc>
          <w:tcPr>
            <w:tcW w:w="3361" w:type="dxa"/>
            <w:gridSpan w:val="2"/>
            <w:tcBorders>
              <w:top w:val="nil"/>
              <w:left w:val="nil"/>
              <w:bottom w:val="nil"/>
              <w:right w:val="nil"/>
            </w:tcBorders>
            <w:shd w:val="clear" w:color="auto" w:fill="auto"/>
            <w:noWrap/>
            <w:vAlign w:val="bottom"/>
            <w:hideMark/>
          </w:tcPr>
          <w:p w:rsidRPr="00F27416" w:rsidR="00F27416" w:rsidP="00F27416" w:rsidRDefault="00F27416" w14:paraId="66152F3D"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Woodland Edge Northwest Mix</w:t>
            </w:r>
          </w:p>
        </w:tc>
        <w:tc>
          <w:tcPr>
            <w:tcW w:w="1003" w:type="dxa"/>
            <w:tcBorders>
              <w:top w:val="nil"/>
              <w:left w:val="nil"/>
              <w:bottom w:val="nil"/>
              <w:right w:val="nil"/>
            </w:tcBorders>
            <w:shd w:val="clear" w:color="auto" w:fill="auto"/>
            <w:noWrap/>
            <w:vAlign w:val="bottom"/>
            <w:hideMark/>
          </w:tcPr>
          <w:p w:rsidRPr="00F27416" w:rsidR="00F27416" w:rsidP="00F27416" w:rsidRDefault="00F27416" w14:paraId="55C22D9F" w14:textId="77777777">
            <w:pPr>
              <w:rPr>
                <w:rFonts w:ascii="Arial" w:hAnsi="Arial" w:eastAsia="Times New Roman" w:cs="Arial"/>
                <w:b/>
                <w:bCs/>
                <w:color w:val="000000"/>
                <w:sz w:val="20"/>
                <w:szCs w:val="20"/>
              </w:rPr>
            </w:pPr>
          </w:p>
        </w:tc>
        <w:tc>
          <w:tcPr>
            <w:tcW w:w="1103" w:type="dxa"/>
            <w:tcBorders>
              <w:top w:val="nil"/>
              <w:left w:val="nil"/>
              <w:bottom w:val="nil"/>
              <w:right w:val="nil"/>
            </w:tcBorders>
            <w:shd w:val="clear" w:color="auto" w:fill="auto"/>
            <w:noWrap/>
            <w:vAlign w:val="bottom"/>
            <w:hideMark/>
          </w:tcPr>
          <w:p w:rsidRPr="00F27416" w:rsidR="00F27416" w:rsidP="00F27416" w:rsidRDefault="00F27416" w14:paraId="155D0D46" w14:textId="77777777">
            <w:pPr>
              <w:jc w:val="center"/>
              <w:rPr>
                <w:rFonts w:ascii="Times New Roman" w:hAnsi="Times New Roman" w:eastAsia="Times New Roman" w:cs="Times New Roman"/>
                <w:sz w:val="20"/>
                <w:szCs w:val="20"/>
              </w:rPr>
            </w:pPr>
          </w:p>
        </w:tc>
        <w:tc>
          <w:tcPr>
            <w:tcW w:w="1103" w:type="dxa"/>
            <w:tcBorders>
              <w:top w:val="nil"/>
              <w:left w:val="nil"/>
              <w:bottom w:val="nil"/>
              <w:right w:val="nil"/>
            </w:tcBorders>
            <w:shd w:val="clear" w:color="auto" w:fill="auto"/>
            <w:noWrap/>
            <w:vAlign w:val="bottom"/>
            <w:hideMark/>
          </w:tcPr>
          <w:p w:rsidRPr="00F27416" w:rsidR="00F27416" w:rsidP="00F27416" w:rsidRDefault="00F27416" w14:paraId="2DD2E81C" w14:textId="77777777">
            <w:pPr>
              <w:jc w:val="center"/>
              <w:rPr>
                <w:rFonts w:ascii="Times New Roman" w:hAnsi="Times New Roman" w:eastAsia="Times New Roman" w:cs="Times New Roman"/>
                <w:sz w:val="20"/>
                <w:szCs w:val="20"/>
              </w:rPr>
            </w:pPr>
          </w:p>
        </w:tc>
      </w:tr>
      <w:tr w:rsidRPr="00F27416" w:rsidR="00F27416" w:rsidTr="00870FDE" w14:paraId="0F591F8D" w14:textId="77777777">
        <w:trPr>
          <w:trHeight w:val="510"/>
        </w:trPr>
        <w:tc>
          <w:tcPr>
            <w:tcW w:w="988"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F27416" w:rsidR="00F27416" w:rsidP="00F27416" w:rsidRDefault="00F27416" w14:paraId="3C9C8EA8"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Code</w:t>
            </w:r>
          </w:p>
        </w:tc>
        <w:tc>
          <w:tcPr>
            <w:tcW w:w="2072" w:type="dxa"/>
            <w:tcBorders>
              <w:top w:val="single" w:color="auto" w:sz="4" w:space="0"/>
              <w:left w:val="nil"/>
              <w:bottom w:val="single" w:color="auto" w:sz="4" w:space="0"/>
              <w:right w:val="single" w:color="auto" w:sz="4" w:space="0"/>
            </w:tcBorders>
            <w:shd w:val="clear" w:color="000000" w:fill="9BC2E6"/>
            <w:vAlign w:val="bottom"/>
            <w:hideMark/>
          </w:tcPr>
          <w:p w:rsidRPr="00F27416" w:rsidR="00F27416" w:rsidP="00F27416" w:rsidRDefault="00F27416" w14:paraId="5D198843" w14:textId="77777777">
            <w:pPr>
              <w:jc w:val="center"/>
              <w:rPr>
                <w:rFonts w:ascii="Arial" w:hAnsi="Arial" w:eastAsia="Times New Roman" w:cs="Arial"/>
                <w:b/>
                <w:bCs/>
                <w:sz w:val="20"/>
                <w:szCs w:val="20"/>
              </w:rPr>
            </w:pPr>
            <w:r w:rsidRPr="00F27416">
              <w:rPr>
                <w:rFonts w:ascii="Arial" w:hAnsi="Arial" w:eastAsia="Times New Roman" w:cs="Arial"/>
                <w:b/>
                <w:bCs/>
                <w:sz w:val="20"/>
                <w:szCs w:val="20"/>
              </w:rPr>
              <w:t>Common Name</w:t>
            </w:r>
          </w:p>
        </w:tc>
        <w:tc>
          <w:tcPr>
            <w:tcW w:w="2646" w:type="dxa"/>
            <w:tcBorders>
              <w:top w:val="single" w:color="auto" w:sz="4" w:space="0"/>
              <w:left w:val="nil"/>
              <w:bottom w:val="single" w:color="auto" w:sz="4" w:space="0"/>
              <w:right w:val="single" w:color="auto" w:sz="4" w:space="0"/>
            </w:tcBorders>
            <w:shd w:val="clear" w:color="000000" w:fill="9BC2E6"/>
            <w:vAlign w:val="bottom"/>
            <w:hideMark/>
          </w:tcPr>
          <w:p w:rsidRPr="00F27416" w:rsidR="00F27416" w:rsidP="00F27416" w:rsidRDefault="00F27416" w14:paraId="378D6C40" w14:textId="77777777">
            <w:pPr>
              <w:jc w:val="center"/>
              <w:rPr>
                <w:rFonts w:ascii="Arial" w:hAnsi="Arial" w:eastAsia="Times New Roman" w:cs="Arial"/>
                <w:b/>
                <w:bCs/>
                <w:sz w:val="20"/>
                <w:szCs w:val="20"/>
              </w:rPr>
            </w:pPr>
            <w:r w:rsidRPr="00F27416">
              <w:rPr>
                <w:rFonts w:ascii="Arial" w:hAnsi="Arial" w:eastAsia="Times New Roman" w:cs="Arial"/>
                <w:b/>
                <w:bCs/>
                <w:sz w:val="20"/>
                <w:szCs w:val="20"/>
              </w:rPr>
              <w:t>Scientific Name</w:t>
            </w:r>
          </w:p>
        </w:tc>
        <w:tc>
          <w:tcPr>
            <w:tcW w:w="715" w:type="dxa"/>
            <w:tcBorders>
              <w:top w:val="single" w:color="auto" w:sz="4" w:space="0"/>
              <w:left w:val="nil"/>
              <w:bottom w:val="single" w:color="auto" w:sz="4" w:space="0"/>
              <w:right w:val="single" w:color="auto" w:sz="4" w:space="0"/>
            </w:tcBorders>
            <w:shd w:val="clear" w:color="000000" w:fill="9BC2E6"/>
            <w:vAlign w:val="bottom"/>
            <w:hideMark/>
          </w:tcPr>
          <w:p w:rsidRPr="00F27416" w:rsidR="00F27416" w:rsidP="00F27416" w:rsidRDefault="00F27416" w14:paraId="477E9B08" w14:textId="77777777">
            <w:pPr>
              <w:jc w:val="center"/>
              <w:rPr>
                <w:rFonts w:ascii="Arial" w:hAnsi="Arial" w:eastAsia="Times New Roman" w:cs="Arial"/>
                <w:b/>
                <w:bCs/>
                <w:sz w:val="20"/>
                <w:szCs w:val="20"/>
              </w:rPr>
            </w:pPr>
            <w:r w:rsidRPr="00F27416">
              <w:rPr>
                <w:rFonts w:ascii="Arial" w:hAnsi="Arial" w:eastAsia="Times New Roman" w:cs="Arial"/>
                <w:b/>
                <w:bCs/>
                <w:sz w:val="20"/>
                <w:szCs w:val="20"/>
              </w:rPr>
              <w:t xml:space="preserve">PLS </w:t>
            </w:r>
            <w:proofErr w:type="spellStart"/>
            <w:r w:rsidRPr="00F27416">
              <w:rPr>
                <w:rFonts w:ascii="Arial" w:hAnsi="Arial" w:eastAsia="Times New Roman" w:cs="Arial"/>
                <w:b/>
                <w:bCs/>
                <w:sz w:val="20"/>
                <w:szCs w:val="20"/>
              </w:rPr>
              <w:t>lb</w:t>
            </w:r>
            <w:proofErr w:type="spellEnd"/>
            <w:r w:rsidRPr="00F27416">
              <w:rPr>
                <w:rFonts w:ascii="Arial" w:hAnsi="Arial" w:eastAsia="Times New Roman" w:cs="Arial"/>
                <w:b/>
                <w:bCs/>
                <w:sz w:val="20"/>
                <w:szCs w:val="20"/>
              </w:rPr>
              <w:t>/ac</w:t>
            </w:r>
          </w:p>
        </w:tc>
        <w:tc>
          <w:tcPr>
            <w:tcW w:w="1003" w:type="dxa"/>
            <w:tcBorders>
              <w:top w:val="single" w:color="auto" w:sz="4" w:space="0"/>
              <w:left w:val="nil"/>
              <w:bottom w:val="single" w:color="auto" w:sz="4" w:space="0"/>
              <w:right w:val="single" w:color="auto" w:sz="4" w:space="0"/>
            </w:tcBorders>
            <w:shd w:val="clear" w:color="000000" w:fill="9BC2E6"/>
            <w:vAlign w:val="bottom"/>
            <w:hideMark/>
          </w:tcPr>
          <w:p w:rsidRPr="00F27416" w:rsidR="00F27416" w:rsidP="00F27416" w:rsidRDefault="00F27416" w14:paraId="5F0E5C31" w14:textId="77777777">
            <w:pPr>
              <w:jc w:val="cente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xml:space="preserve">% by PLS </w:t>
            </w:r>
            <w:proofErr w:type="spellStart"/>
            <w:r w:rsidRPr="00F27416">
              <w:rPr>
                <w:rFonts w:ascii="Arial" w:hAnsi="Arial" w:eastAsia="Times New Roman" w:cs="Arial"/>
                <w:b/>
                <w:bCs/>
                <w:color w:val="000000"/>
                <w:sz w:val="20"/>
                <w:szCs w:val="20"/>
              </w:rPr>
              <w:t>lb</w:t>
            </w:r>
            <w:proofErr w:type="spellEnd"/>
            <w:r w:rsidRPr="00F27416">
              <w:rPr>
                <w:rFonts w:ascii="Arial" w:hAnsi="Arial" w:eastAsia="Times New Roman" w:cs="Arial"/>
                <w:b/>
                <w:bCs/>
                <w:color w:val="000000"/>
                <w:sz w:val="20"/>
                <w:szCs w:val="20"/>
              </w:rPr>
              <w:t>/ac</w:t>
            </w:r>
          </w:p>
        </w:tc>
        <w:tc>
          <w:tcPr>
            <w:tcW w:w="1103" w:type="dxa"/>
            <w:tcBorders>
              <w:top w:val="single" w:color="auto" w:sz="4" w:space="0"/>
              <w:left w:val="nil"/>
              <w:bottom w:val="single" w:color="auto" w:sz="4" w:space="0"/>
              <w:right w:val="single" w:color="auto" w:sz="4" w:space="0"/>
            </w:tcBorders>
            <w:shd w:val="clear" w:color="000000" w:fill="9BC2E6"/>
            <w:vAlign w:val="bottom"/>
            <w:hideMark/>
          </w:tcPr>
          <w:p w:rsidRPr="00F27416" w:rsidR="00F27416" w:rsidP="00F27416" w:rsidRDefault="00F27416" w14:paraId="44F3BF48" w14:textId="77777777">
            <w:pPr>
              <w:jc w:val="center"/>
              <w:rPr>
                <w:rFonts w:ascii="Arial" w:hAnsi="Arial" w:eastAsia="Times New Roman" w:cs="Arial"/>
                <w:b/>
                <w:bCs/>
                <w:sz w:val="20"/>
                <w:szCs w:val="20"/>
              </w:rPr>
            </w:pPr>
            <w:r w:rsidRPr="00F27416">
              <w:rPr>
                <w:rFonts w:ascii="Arial" w:hAnsi="Arial" w:eastAsia="Times New Roman" w:cs="Arial"/>
                <w:b/>
                <w:bCs/>
                <w:sz w:val="20"/>
                <w:szCs w:val="20"/>
              </w:rPr>
              <w:t>Seeds/ft2</w:t>
            </w:r>
          </w:p>
        </w:tc>
        <w:tc>
          <w:tcPr>
            <w:tcW w:w="1103" w:type="dxa"/>
            <w:tcBorders>
              <w:top w:val="single" w:color="auto" w:sz="4" w:space="0"/>
              <w:left w:val="nil"/>
              <w:bottom w:val="single" w:color="auto" w:sz="4" w:space="0"/>
              <w:right w:val="single" w:color="auto" w:sz="4" w:space="0"/>
            </w:tcBorders>
            <w:shd w:val="clear" w:color="000000" w:fill="9BC2E6"/>
            <w:vAlign w:val="bottom"/>
            <w:hideMark/>
          </w:tcPr>
          <w:p w:rsidRPr="00F27416" w:rsidR="00F27416" w:rsidP="00F27416" w:rsidRDefault="00F27416" w14:paraId="55FE142E" w14:textId="77777777">
            <w:pPr>
              <w:jc w:val="center"/>
              <w:rPr>
                <w:rFonts w:ascii="Arial" w:hAnsi="Arial" w:eastAsia="Times New Roman" w:cs="Arial"/>
                <w:b/>
                <w:bCs/>
                <w:sz w:val="20"/>
                <w:szCs w:val="20"/>
              </w:rPr>
            </w:pPr>
            <w:r w:rsidRPr="00F27416">
              <w:rPr>
                <w:rFonts w:ascii="Arial" w:hAnsi="Arial" w:eastAsia="Times New Roman" w:cs="Arial"/>
                <w:b/>
                <w:bCs/>
                <w:sz w:val="20"/>
                <w:szCs w:val="20"/>
              </w:rPr>
              <w:t>% by Seeds/ft2</w:t>
            </w:r>
          </w:p>
        </w:tc>
      </w:tr>
      <w:tr w:rsidRPr="00F27416" w:rsidR="00F27416" w:rsidTr="00870FDE" w14:paraId="0044721B"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691C1AD8"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andger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63EBA44"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Big Bluestem</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F7CAED3"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Andropogon gerardii</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D4BB2B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0.41</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C12E23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1.22%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B7CBDA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1.51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B859F7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2.37%</w:t>
            </w:r>
          </w:p>
        </w:tc>
      </w:tr>
      <w:tr w:rsidRPr="00F27416" w:rsidR="00F27416" w:rsidTr="00870FDE" w14:paraId="41E68D01"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5CDA144E"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boucur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549CB68"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Sideoats</w:t>
            </w:r>
            <w:proofErr w:type="spellEnd"/>
            <w:r w:rsidRPr="00F27416">
              <w:rPr>
                <w:rFonts w:ascii="Arial" w:hAnsi="Arial" w:eastAsia="Times New Roman" w:cs="Arial"/>
                <w:color w:val="000000"/>
                <w:sz w:val="20"/>
                <w:szCs w:val="20"/>
              </w:rPr>
              <w:t xml:space="preserve"> Grama</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6B0D1930"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Bouteloua</w:t>
            </w:r>
            <w:proofErr w:type="spellEnd"/>
            <w:r w:rsidRPr="00F27416">
              <w:rPr>
                <w:rFonts w:ascii="Arial" w:hAnsi="Arial" w:eastAsia="Times New Roman" w:cs="Arial"/>
                <w:color w:val="000000"/>
                <w:sz w:val="20"/>
                <w:szCs w:val="20"/>
              </w:rPr>
              <w:t xml:space="preserve"> </w:t>
            </w:r>
            <w:proofErr w:type="spellStart"/>
            <w:r w:rsidRPr="00F27416">
              <w:rPr>
                <w:rFonts w:ascii="Arial" w:hAnsi="Arial" w:eastAsia="Times New Roman" w:cs="Arial"/>
                <w:color w:val="000000"/>
                <w:sz w:val="20"/>
                <w:szCs w:val="20"/>
              </w:rPr>
              <w:t>curtipendula</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08C406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1.00</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F903DFC"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2.97%</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BA6C2C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2.20</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78B9BD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3.46%</w:t>
            </w:r>
          </w:p>
        </w:tc>
      </w:tr>
      <w:tr w:rsidRPr="00F27416" w:rsidR="00F27416" w:rsidTr="00870FDE" w14:paraId="7CE759D6"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44BC299E"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brocil</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1956C77"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Fringed Brome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C6ED171"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Bromus </w:t>
            </w:r>
            <w:proofErr w:type="spellStart"/>
            <w:r w:rsidRPr="00F27416">
              <w:rPr>
                <w:rFonts w:ascii="Arial" w:hAnsi="Arial" w:eastAsia="Times New Roman" w:cs="Arial"/>
                <w:color w:val="000000"/>
                <w:sz w:val="20"/>
                <w:szCs w:val="20"/>
              </w:rPr>
              <w:t>ciliatus</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265CF72"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0.74</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6D3FCD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2.20%</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D9889D1"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2.99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FEC077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4.70%</w:t>
            </w:r>
          </w:p>
        </w:tc>
      </w:tr>
      <w:tr w:rsidRPr="00F27416" w:rsidR="00F27416" w:rsidTr="00870FDE" w14:paraId="2C8C16DB"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526E5F60"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brokal</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F4DD0CC"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Prairie Brome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175003AB"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Bromus </w:t>
            </w:r>
            <w:proofErr w:type="spellStart"/>
            <w:r w:rsidRPr="00F27416">
              <w:rPr>
                <w:rFonts w:ascii="Arial" w:hAnsi="Arial" w:eastAsia="Times New Roman" w:cs="Arial"/>
                <w:color w:val="000000"/>
                <w:sz w:val="20"/>
                <w:szCs w:val="20"/>
              </w:rPr>
              <w:t>kalmii</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3A97DC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1.02</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84B2025"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3.03%</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51D182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3.00</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834CC3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4.71%</w:t>
            </w:r>
          </w:p>
        </w:tc>
      </w:tr>
      <w:tr w:rsidRPr="00F27416" w:rsidR="00F27416" w:rsidTr="00870FDE" w14:paraId="32D96AEB"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1555891B"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calcan</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D799778"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Bluejoint Grass</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0CB49516"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Calamagrostis canadensis</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6C83334"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0.06</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9610CE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0.18%</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B3A0BC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6.17</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CE1F0A2"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9.69%</w:t>
            </w:r>
          </w:p>
        </w:tc>
      </w:tr>
      <w:tr w:rsidRPr="00F27416" w:rsidR="00F27416" w:rsidTr="00870FDE" w14:paraId="5B66B5E7"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59E77AC8"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danspi</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05E3A74"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Poverty Oats</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9F527EA"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Danthonia spicata</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D09298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0.10</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38BF57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0.30%</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B55B27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0.92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1AD962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1.44%</w:t>
            </w:r>
          </w:p>
        </w:tc>
      </w:tr>
      <w:tr w:rsidRPr="00F27416" w:rsidR="00F27416" w:rsidTr="00870FDE" w14:paraId="20FABE67"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0E5D474C"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elycan</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B84E310"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Canada Wild Rye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240795FC"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Elymus canadensis</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211AEB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1.00</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B68E8A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2.97%</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2B2AC74"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1.91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B8ED12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3.00%</w:t>
            </w:r>
          </w:p>
        </w:tc>
      </w:tr>
      <w:tr w:rsidRPr="00F27416" w:rsidR="00F27416" w:rsidTr="00870FDE" w14:paraId="0E316958"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4E674B36"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elytra</w:t>
            </w:r>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BBD2FA1"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Slender Wheatgrass</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3D92B99"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Elymus </w:t>
            </w:r>
            <w:proofErr w:type="spellStart"/>
            <w:r w:rsidRPr="00F27416">
              <w:rPr>
                <w:rFonts w:ascii="Arial" w:hAnsi="Arial" w:eastAsia="Times New Roman" w:cs="Arial"/>
                <w:color w:val="000000"/>
                <w:sz w:val="20"/>
                <w:szCs w:val="20"/>
              </w:rPr>
              <w:t>trachycaulus</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D6A6D04"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1.00</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6E5038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2.97%</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AC51A0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2.53</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6852D8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3.98%</w:t>
            </w:r>
          </w:p>
        </w:tc>
      </w:tr>
      <w:tr w:rsidRPr="00F27416" w:rsidR="00F27416" w:rsidTr="00870FDE" w14:paraId="0729E4DB"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18A316C2"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elyvir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3ACD662"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Virginia Wild Rye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8A9597F"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Elymus </w:t>
            </w:r>
            <w:proofErr w:type="spellStart"/>
            <w:r w:rsidRPr="00F27416">
              <w:rPr>
                <w:rFonts w:ascii="Arial" w:hAnsi="Arial" w:eastAsia="Times New Roman" w:cs="Arial"/>
                <w:color w:val="000000"/>
                <w:sz w:val="20"/>
                <w:szCs w:val="20"/>
              </w:rPr>
              <w:t>virginicus</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3DB4C8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1.30</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F14C13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3.86%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A4669D4"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2.01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A5698A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3.15%</w:t>
            </w:r>
          </w:p>
        </w:tc>
      </w:tr>
      <w:tr w:rsidRPr="00F27416" w:rsidR="00F27416" w:rsidTr="00870FDE" w14:paraId="19DF7F87"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6D3D57E8"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schsco</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56261E1"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Little Bluestem</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0A51E5A9"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Schizachyrium</w:t>
            </w:r>
            <w:proofErr w:type="spellEnd"/>
            <w:r w:rsidRPr="00F27416">
              <w:rPr>
                <w:rFonts w:ascii="Arial" w:hAnsi="Arial" w:eastAsia="Times New Roman" w:cs="Arial"/>
                <w:color w:val="000000"/>
                <w:sz w:val="20"/>
                <w:szCs w:val="20"/>
              </w:rPr>
              <w:t xml:space="preserve"> </w:t>
            </w:r>
            <w:proofErr w:type="spellStart"/>
            <w:r w:rsidRPr="00F27416">
              <w:rPr>
                <w:rFonts w:ascii="Arial" w:hAnsi="Arial" w:eastAsia="Times New Roman" w:cs="Arial"/>
                <w:color w:val="000000"/>
                <w:sz w:val="20"/>
                <w:szCs w:val="20"/>
              </w:rPr>
              <w:t>scoparium</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2E42D9C"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0.12</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6B6696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0.36%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EF662F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0.66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D3EB62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1.04%</w:t>
            </w:r>
          </w:p>
        </w:tc>
      </w:tr>
      <w:tr w:rsidRPr="00F27416" w:rsidR="00F27416" w:rsidTr="00870FDE" w14:paraId="1B94B0EE"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2E2C2F7E"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sornut</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026B941"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Indiangrass</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189DF391"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Sorghastrum</w:t>
            </w:r>
            <w:proofErr w:type="spellEnd"/>
            <w:r w:rsidRPr="00F27416">
              <w:rPr>
                <w:rFonts w:ascii="Arial" w:hAnsi="Arial" w:eastAsia="Times New Roman" w:cs="Arial"/>
                <w:color w:val="000000"/>
                <w:sz w:val="20"/>
                <w:szCs w:val="20"/>
              </w:rPr>
              <w:t xml:space="preserve"> nutans</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E95CC6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0.45</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3CE82B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1.34%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47ACD9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1.98</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62E5C3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3.12%</w:t>
            </w:r>
          </w:p>
        </w:tc>
      </w:tr>
      <w:tr w:rsidRPr="00F27416" w:rsidR="00F27416" w:rsidTr="00870FDE" w14:paraId="22213DCA" w14:textId="77777777">
        <w:trPr>
          <w:trHeight w:val="255"/>
        </w:trPr>
        <w:tc>
          <w:tcPr>
            <w:tcW w:w="988" w:type="dxa"/>
            <w:tcBorders>
              <w:top w:val="nil"/>
              <w:left w:val="single" w:color="auto" w:sz="4" w:space="0"/>
              <w:bottom w:val="single" w:color="auto" w:sz="4" w:space="0"/>
              <w:right w:val="single" w:color="auto" w:sz="4" w:space="0"/>
            </w:tcBorders>
            <w:shd w:val="clear" w:color="000000" w:fill="9BC2E6"/>
            <w:noWrap/>
            <w:vAlign w:val="bottom"/>
            <w:hideMark/>
          </w:tcPr>
          <w:p w:rsidRPr="00F27416" w:rsidR="00F27416" w:rsidP="00F27416" w:rsidRDefault="00F27416" w14:paraId="3254531C"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072"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680518EF"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646"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269A78C5"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Grasses Subtotal</w:t>
            </w:r>
          </w:p>
        </w:tc>
        <w:tc>
          <w:tcPr>
            <w:tcW w:w="715"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0F17DF48"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7.20</w:t>
            </w:r>
          </w:p>
        </w:tc>
        <w:tc>
          <w:tcPr>
            <w:tcW w:w="10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21DD8C19"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21.40%</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4B5464BC"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25.88</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7FA96F56"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40.65%</w:t>
            </w:r>
          </w:p>
        </w:tc>
      </w:tr>
      <w:tr w:rsidRPr="00F27416" w:rsidR="00F27416" w:rsidTr="00870FDE" w14:paraId="451FD73B"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704C387C"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achmil</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71FDF8A"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Common Yarrow</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CCF7996"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Achillea millefolium</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E78622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0.04</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B5988B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4DFCB6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2.62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88BC561"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4.11%</w:t>
            </w:r>
          </w:p>
        </w:tc>
      </w:tr>
      <w:tr w:rsidRPr="00F27416" w:rsidR="00F27416" w:rsidTr="00870FDE" w14:paraId="00528CD8"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7190C6BA"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agafoe</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A24B4AC"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Anise Hyssop</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4D3401ED"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Agastache </w:t>
            </w:r>
            <w:proofErr w:type="spellStart"/>
            <w:r w:rsidRPr="00F27416">
              <w:rPr>
                <w:rFonts w:ascii="Arial" w:hAnsi="Arial" w:eastAsia="Times New Roman" w:cs="Arial"/>
                <w:color w:val="000000"/>
                <w:sz w:val="20"/>
                <w:szCs w:val="20"/>
              </w:rPr>
              <w:t>foeniculum</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F3AB9F6"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0.09</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AFCFC8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0.27%</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67122B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2.98</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D4E4FA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4.67%</w:t>
            </w:r>
          </w:p>
        </w:tc>
      </w:tr>
      <w:tr w:rsidRPr="00F27416" w:rsidR="00F27416" w:rsidTr="00870FDE" w14:paraId="29078337"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79F1DF68"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amocan</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F1487AD"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Lead Plant</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61A5D97A"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Amorpha </w:t>
            </w:r>
            <w:proofErr w:type="spellStart"/>
            <w:r w:rsidRPr="00F27416">
              <w:rPr>
                <w:rFonts w:ascii="Arial" w:hAnsi="Arial" w:eastAsia="Times New Roman" w:cs="Arial"/>
                <w:color w:val="000000"/>
                <w:sz w:val="20"/>
                <w:szCs w:val="20"/>
              </w:rPr>
              <w:t>canescens</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295112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0.05</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BC024B1"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0.15%</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54C692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0.22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F69CDC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0.35%</w:t>
            </w:r>
          </w:p>
        </w:tc>
      </w:tr>
      <w:tr w:rsidRPr="00F27416" w:rsidR="00F27416" w:rsidTr="00870FDE" w14:paraId="7A20FDB2"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20419280"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anevir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E9DF0D9"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Tall Thimbleweed</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C2D7F16"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Anemone virginiana</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871490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0.03</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D0C84A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44A3AC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0.31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EBE005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0.48%</w:t>
            </w:r>
          </w:p>
        </w:tc>
      </w:tr>
      <w:tr w:rsidRPr="00F27416" w:rsidR="00F27416" w:rsidTr="00870FDE" w14:paraId="7043E9C9"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5EB196EA"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aqucan</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DF77595"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Wild Columbine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7966C884"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Aquilegia canadensis</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72765A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0.03</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D741262"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8F21B8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0.42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B1719C1"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0.66%</w:t>
            </w:r>
          </w:p>
        </w:tc>
      </w:tr>
      <w:tr w:rsidRPr="00F27416" w:rsidR="00F27416" w:rsidTr="00870FDE" w14:paraId="649AEB67"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786CBAC7"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artlud</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E4660BF"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Prairie Sage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6CFA7459"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Artemisia </w:t>
            </w:r>
            <w:proofErr w:type="spellStart"/>
            <w:r w:rsidRPr="00F27416">
              <w:rPr>
                <w:rFonts w:ascii="Arial" w:hAnsi="Arial" w:eastAsia="Times New Roman" w:cs="Arial"/>
                <w:color w:val="000000"/>
                <w:sz w:val="20"/>
                <w:szCs w:val="20"/>
              </w:rPr>
              <w:t>ludoviciana</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F4E690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0.02</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E1F09C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7C6FCE5"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1.84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7E0C2B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2.88%</w:t>
            </w:r>
          </w:p>
        </w:tc>
      </w:tr>
      <w:tr w:rsidRPr="00F27416" w:rsidR="00F27416" w:rsidTr="00870FDE" w14:paraId="4F65AE3A"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2645B11A"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dalcan</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AA7EE63"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White Prairie Clover</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777131CA"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Dalea candida</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C900CD1"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0.08</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D488046"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0.24%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16DC8C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0.56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BBD7CB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0.88%</w:t>
            </w:r>
          </w:p>
        </w:tc>
      </w:tr>
      <w:tr w:rsidRPr="00F27416" w:rsidR="00F27416" w:rsidTr="00870FDE" w14:paraId="54A8C09F"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0AD9C0B0"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dalpur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EC1DCB4"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Purple Prairie Clover</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4E3CCB25"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Dalea purpurea</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D4A178C"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0.18</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E7605D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0.53%</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0C9DFF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0.99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BA2EE9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1.56%</w:t>
            </w:r>
          </w:p>
        </w:tc>
      </w:tr>
      <w:tr w:rsidRPr="00F27416" w:rsidR="00F27416" w:rsidTr="00870FDE" w14:paraId="31A04D6C"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68F26774"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doeumb</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677C939"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Flat-topped Aster</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2C6F61C1"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Doellingeria</w:t>
            </w:r>
            <w:proofErr w:type="spellEnd"/>
            <w:r w:rsidRPr="00F27416">
              <w:rPr>
                <w:rFonts w:ascii="Arial" w:hAnsi="Arial" w:eastAsia="Times New Roman" w:cs="Arial"/>
                <w:color w:val="000000"/>
                <w:sz w:val="20"/>
                <w:szCs w:val="20"/>
              </w:rPr>
              <w:t xml:space="preserve"> </w:t>
            </w:r>
            <w:proofErr w:type="spellStart"/>
            <w:r w:rsidRPr="00F27416">
              <w:rPr>
                <w:rFonts w:ascii="Arial" w:hAnsi="Arial" w:eastAsia="Times New Roman" w:cs="Arial"/>
                <w:color w:val="000000"/>
                <w:sz w:val="20"/>
                <w:szCs w:val="20"/>
              </w:rPr>
              <w:t>umbellata</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805FEF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0.03</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913C32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633163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0.74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0E94F9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1.16%</w:t>
            </w:r>
          </w:p>
        </w:tc>
      </w:tr>
      <w:tr w:rsidRPr="00F27416" w:rsidR="00F27416" w:rsidTr="00870FDE" w14:paraId="10F81A31"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6DC6E6B9"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helhel</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28E33C8"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Ox-eye Sunflower</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24653AC7"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Heliopsis </w:t>
            </w:r>
            <w:proofErr w:type="spellStart"/>
            <w:r w:rsidRPr="00F27416">
              <w:rPr>
                <w:rFonts w:ascii="Arial" w:hAnsi="Arial" w:eastAsia="Times New Roman" w:cs="Arial"/>
                <w:color w:val="000000"/>
                <w:sz w:val="20"/>
                <w:szCs w:val="20"/>
              </w:rPr>
              <w:t>helianthoides</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A8CA3D5"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0.04</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076146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CFA383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64C878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0.15%</w:t>
            </w:r>
          </w:p>
        </w:tc>
      </w:tr>
      <w:tr w:rsidRPr="00F27416" w:rsidR="00F27416" w:rsidTr="00870FDE" w14:paraId="09881CB5"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19117C9B"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rosbla</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EE5FFA1"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Smooth Wild Rose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688C9B9A"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Rosa </w:t>
            </w:r>
            <w:proofErr w:type="spellStart"/>
            <w:r w:rsidRPr="00F27416">
              <w:rPr>
                <w:rFonts w:ascii="Arial" w:hAnsi="Arial" w:eastAsia="Times New Roman" w:cs="Arial"/>
                <w:color w:val="000000"/>
                <w:sz w:val="20"/>
                <w:szCs w:val="20"/>
              </w:rPr>
              <w:t>blanda</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53A542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0.08</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9BB945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0.24%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C36B9BB"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0.08</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A7FF288"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0.12%</w:t>
            </w:r>
          </w:p>
        </w:tc>
      </w:tr>
      <w:tr w:rsidRPr="00F27416" w:rsidR="00F27416" w:rsidTr="00870FDE" w14:paraId="06A0043F"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45C2024D"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rudhir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EDF26CE"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Black-eyed Susan</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11E076B8"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Rudbeckia </w:t>
            </w:r>
            <w:proofErr w:type="spellStart"/>
            <w:r w:rsidRPr="00F27416">
              <w:rPr>
                <w:rFonts w:ascii="Arial" w:hAnsi="Arial" w:eastAsia="Times New Roman" w:cs="Arial"/>
                <w:color w:val="000000"/>
                <w:sz w:val="20"/>
                <w:szCs w:val="20"/>
              </w:rPr>
              <w:t>hirta</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B372810"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0.31</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E08E8F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0.92%</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6DF49C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10.48</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F1EAB56"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16.45%</w:t>
            </w:r>
          </w:p>
        </w:tc>
      </w:tr>
      <w:tr w:rsidRPr="00F27416" w:rsidR="00F27416" w:rsidTr="00870FDE" w14:paraId="562975EE"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43CF9E0F"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solpta</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EEF6FA2"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Upland White Goldenrod</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129A4696"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Solidago </w:t>
            </w:r>
            <w:proofErr w:type="spellStart"/>
            <w:r w:rsidRPr="00F27416">
              <w:rPr>
                <w:rFonts w:ascii="Arial" w:hAnsi="Arial" w:eastAsia="Times New Roman" w:cs="Arial"/>
                <w:color w:val="000000"/>
                <w:sz w:val="20"/>
                <w:szCs w:val="20"/>
              </w:rPr>
              <w:t>ptarmicoides</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392ACD4"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0.06</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CFD0DA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0.18%</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3022BF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1.41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55E853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2.22%</w:t>
            </w:r>
          </w:p>
        </w:tc>
      </w:tr>
      <w:tr w:rsidRPr="00F27416" w:rsidR="00F27416" w:rsidTr="00870FDE" w14:paraId="1509F71E"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0F9E1B55"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lastRenderedPageBreak/>
              <w:t>solrig</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3F8B469F"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Stiff Goldenrod</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D212B2F"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Solidago rigida</w:t>
            </w:r>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C8299B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0.07</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94FF40C"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0.21%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B523FC9"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1.05</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D65CA2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1.66%</w:t>
            </w:r>
          </w:p>
        </w:tc>
      </w:tr>
      <w:tr w:rsidRPr="00F27416" w:rsidR="00F27416" w:rsidTr="00870FDE" w14:paraId="7ED16F4E"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3A59FA6A"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symlat</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8E8770C"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Calico Aster</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792BC639"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Symphyotrichum</w:t>
            </w:r>
            <w:proofErr w:type="spellEnd"/>
            <w:r w:rsidRPr="00F27416">
              <w:rPr>
                <w:rFonts w:ascii="Arial" w:hAnsi="Arial" w:eastAsia="Times New Roman" w:cs="Arial"/>
                <w:color w:val="000000"/>
                <w:sz w:val="20"/>
                <w:szCs w:val="20"/>
              </w:rPr>
              <w:t xml:space="preserve"> </w:t>
            </w:r>
            <w:proofErr w:type="spellStart"/>
            <w:r w:rsidRPr="00F27416">
              <w:rPr>
                <w:rFonts w:ascii="Arial" w:hAnsi="Arial" w:eastAsia="Times New Roman" w:cs="Arial"/>
                <w:color w:val="000000"/>
                <w:sz w:val="20"/>
                <w:szCs w:val="20"/>
              </w:rPr>
              <w:t>lateriflorum</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F6061C2"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0.02</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F931C6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0.06%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9B6705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1.84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700A54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2.88%</w:t>
            </w:r>
          </w:p>
        </w:tc>
      </w:tr>
      <w:tr w:rsidRPr="00F27416" w:rsidR="00F27416" w:rsidTr="00870FDE" w14:paraId="4FC7BC83"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43A7ED5C"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thadas</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C49BD2A"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Purple Meadow Rue</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53EAA675"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 xml:space="preserve">Thalictrum </w:t>
            </w:r>
            <w:proofErr w:type="spellStart"/>
            <w:r w:rsidRPr="00F27416">
              <w:rPr>
                <w:rFonts w:ascii="Arial" w:hAnsi="Arial" w:eastAsia="Times New Roman" w:cs="Arial"/>
                <w:color w:val="000000"/>
                <w:sz w:val="20"/>
                <w:szCs w:val="20"/>
              </w:rPr>
              <w:t>dasycarpum</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C00CB2A"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0.19</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757F0357"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0.56%</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4B00ED4"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0.51</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13595F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0.80%</w:t>
            </w:r>
          </w:p>
        </w:tc>
      </w:tr>
      <w:tr w:rsidRPr="00F27416" w:rsidR="00F27416" w:rsidTr="00870FDE" w14:paraId="6FA597BD"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3C97D0DF"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zizaur</w:t>
            </w:r>
            <w:proofErr w:type="spellEnd"/>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734C857"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Golden Alexanders</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2EF67677"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Zizia</w:t>
            </w:r>
            <w:proofErr w:type="spellEnd"/>
            <w:r w:rsidRPr="00F27416">
              <w:rPr>
                <w:rFonts w:ascii="Arial" w:hAnsi="Arial" w:eastAsia="Times New Roman" w:cs="Arial"/>
                <w:color w:val="000000"/>
                <w:sz w:val="20"/>
                <w:szCs w:val="20"/>
              </w:rPr>
              <w:t xml:space="preserve"> </w:t>
            </w:r>
            <w:proofErr w:type="spellStart"/>
            <w:r w:rsidRPr="00F27416">
              <w:rPr>
                <w:rFonts w:ascii="Arial" w:hAnsi="Arial" w:eastAsia="Times New Roman" w:cs="Arial"/>
                <w:color w:val="000000"/>
                <w:sz w:val="20"/>
                <w:szCs w:val="20"/>
              </w:rPr>
              <w:t>aurea</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02B8A4C"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0.13</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16561FF"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0.39%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096D4C0E"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0.53</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410B757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0.82%</w:t>
            </w:r>
          </w:p>
        </w:tc>
      </w:tr>
      <w:tr w:rsidRPr="00F27416" w:rsidR="00F27416" w:rsidTr="00870FDE" w14:paraId="43B804EA" w14:textId="77777777">
        <w:trPr>
          <w:trHeight w:val="255"/>
        </w:trPr>
        <w:tc>
          <w:tcPr>
            <w:tcW w:w="988" w:type="dxa"/>
            <w:tcBorders>
              <w:top w:val="nil"/>
              <w:left w:val="single" w:color="auto" w:sz="4" w:space="0"/>
              <w:bottom w:val="single" w:color="auto" w:sz="4" w:space="0"/>
              <w:right w:val="single" w:color="auto" w:sz="4" w:space="0"/>
            </w:tcBorders>
            <w:shd w:val="clear" w:color="000000" w:fill="9BC2E6"/>
            <w:noWrap/>
            <w:vAlign w:val="bottom"/>
            <w:hideMark/>
          </w:tcPr>
          <w:p w:rsidRPr="00F27416" w:rsidR="00F27416" w:rsidP="00F27416" w:rsidRDefault="00F27416" w14:paraId="3EBB1B21"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072"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2B0CA95D"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646"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1FCA2F9A"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Forbs Subtotal</w:t>
            </w:r>
          </w:p>
        </w:tc>
        <w:tc>
          <w:tcPr>
            <w:tcW w:w="715"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2A90E01E"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1.45</w:t>
            </w:r>
          </w:p>
        </w:tc>
        <w:tc>
          <w:tcPr>
            <w:tcW w:w="10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12F2A915"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4.31%</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024D375D"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26.65</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6751AF1E"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41.86%</w:t>
            </w:r>
          </w:p>
        </w:tc>
      </w:tr>
      <w:tr w:rsidRPr="00F27416" w:rsidR="00F27416" w:rsidTr="00870FDE" w14:paraId="090C79C1" w14:textId="77777777">
        <w:trPr>
          <w:trHeight w:val="255"/>
        </w:trPr>
        <w:tc>
          <w:tcPr>
            <w:tcW w:w="988" w:type="dxa"/>
            <w:tcBorders>
              <w:top w:val="nil"/>
              <w:left w:val="single" w:color="auto" w:sz="4" w:space="0"/>
              <w:bottom w:val="single" w:color="auto" w:sz="4" w:space="0"/>
              <w:right w:val="single" w:color="auto" w:sz="4" w:space="0"/>
            </w:tcBorders>
            <w:shd w:val="clear" w:color="auto" w:fill="auto"/>
            <w:noWrap/>
            <w:vAlign w:val="bottom"/>
            <w:hideMark/>
          </w:tcPr>
          <w:p w:rsidRPr="00F27416" w:rsidR="00F27416" w:rsidP="00F27416" w:rsidRDefault="00F27416" w14:paraId="05A16EE3"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cover</w:t>
            </w:r>
          </w:p>
        </w:tc>
        <w:tc>
          <w:tcPr>
            <w:tcW w:w="2072"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D27A0D5" w14:textId="77777777">
            <w:pPr>
              <w:rPr>
                <w:rFonts w:ascii="Arial" w:hAnsi="Arial" w:eastAsia="Times New Roman" w:cs="Arial"/>
                <w:color w:val="000000"/>
                <w:sz w:val="20"/>
                <w:szCs w:val="20"/>
              </w:rPr>
            </w:pPr>
            <w:r w:rsidRPr="00F27416">
              <w:rPr>
                <w:rFonts w:ascii="Arial" w:hAnsi="Arial" w:eastAsia="Times New Roman" w:cs="Arial"/>
                <w:color w:val="000000"/>
                <w:sz w:val="20"/>
                <w:szCs w:val="20"/>
              </w:rPr>
              <w:t>Oats/Winter Wheat</w:t>
            </w:r>
          </w:p>
        </w:tc>
        <w:tc>
          <w:tcPr>
            <w:tcW w:w="2646" w:type="dxa"/>
            <w:tcBorders>
              <w:top w:val="nil"/>
              <w:left w:val="nil"/>
              <w:bottom w:val="single" w:color="auto" w:sz="4" w:space="0"/>
              <w:right w:val="single" w:color="auto" w:sz="4" w:space="0"/>
            </w:tcBorders>
            <w:shd w:val="clear" w:color="000000" w:fill="A9D08E"/>
            <w:noWrap/>
            <w:vAlign w:val="bottom"/>
            <w:hideMark/>
          </w:tcPr>
          <w:p w:rsidRPr="00F27416" w:rsidR="00F27416" w:rsidP="00F27416" w:rsidRDefault="00F27416" w14:paraId="1451BEDC" w14:textId="77777777">
            <w:pPr>
              <w:rPr>
                <w:rFonts w:ascii="Arial" w:hAnsi="Arial" w:eastAsia="Times New Roman" w:cs="Arial"/>
                <w:color w:val="000000"/>
                <w:sz w:val="20"/>
                <w:szCs w:val="20"/>
              </w:rPr>
            </w:pPr>
            <w:proofErr w:type="spellStart"/>
            <w:r w:rsidRPr="00F27416">
              <w:rPr>
                <w:rFonts w:ascii="Arial" w:hAnsi="Arial" w:eastAsia="Times New Roman" w:cs="Arial"/>
                <w:color w:val="000000"/>
                <w:sz w:val="20"/>
                <w:szCs w:val="20"/>
              </w:rPr>
              <w:t>Avena</w:t>
            </w:r>
            <w:proofErr w:type="spellEnd"/>
            <w:r w:rsidRPr="00F27416">
              <w:rPr>
                <w:rFonts w:ascii="Arial" w:hAnsi="Arial" w:eastAsia="Times New Roman" w:cs="Arial"/>
                <w:color w:val="000000"/>
                <w:sz w:val="20"/>
                <w:szCs w:val="20"/>
              </w:rPr>
              <w:t xml:space="preserve"> sativa/Triticum </w:t>
            </w:r>
            <w:proofErr w:type="spellStart"/>
            <w:r w:rsidRPr="00F27416">
              <w:rPr>
                <w:rFonts w:ascii="Arial" w:hAnsi="Arial" w:eastAsia="Times New Roman" w:cs="Arial"/>
                <w:color w:val="000000"/>
                <w:sz w:val="20"/>
                <w:szCs w:val="20"/>
              </w:rPr>
              <w:t>aestivum</w:t>
            </w:r>
            <w:proofErr w:type="spellEnd"/>
          </w:p>
        </w:tc>
        <w:tc>
          <w:tcPr>
            <w:tcW w:w="715"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1F13A93C"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25.00</w:t>
            </w:r>
          </w:p>
        </w:tc>
        <w:tc>
          <w:tcPr>
            <w:tcW w:w="10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505015D3"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74.29%</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2B620DE1"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11.14</w:t>
            </w:r>
          </w:p>
        </w:tc>
        <w:tc>
          <w:tcPr>
            <w:tcW w:w="1103" w:type="dxa"/>
            <w:tcBorders>
              <w:top w:val="nil"/>
              <w:left w:val="nil"/>
              <w:bottom w:val="single" w:color="auto" w:sz="4" w:space="0"/>
              <w:right w:val="single" w:color="auto" w:sz="4" w:space="0"/>
            </w:tcBorders>
            <w:shd w:val="clear" w:color="auto" w:fill="auto"/>
            <w:noWrap/>
            <w:vAlign w:val="bottom"/>
            <w:hideMark/>
          </w:tcPr>
          <w:p w:rsidRPr="00F27416" w:rsidR="00F27416" w:rsidP="00F27416" w:rsidRDefault="00F27416" w14:paraId="6BBB3C7D" w14:textId="77777777">
            <w:pPr>
              <w:jc w:val="right"/>
              <w:rPr>
                <w:rFonts w:ascii="Arial" w:hAnsi="Arial" w:eastAsia="Times New Roman" w:cs="Arial"/>
                <w:color w:val="000000"/>
                <w:sz w:val="20"/>
                <w:szCs w:val="20"/>
              </w:rPr>
            </w:pPr>
            <w:r w:rsidRPr="00F27416">
              <w:rPr>
                <w:rFonts w:ascii="Arial" w:hAnsi="Arial" w:eastAsia="Times New Roman" w:cs="Arial"/>
                <w:color w:val="000000"/>
                <w:sz w:val="20"/>
                <w:szCs w:val="20"/>
              </w:rPr>
              <w:t>17.49%</w:t>
            </w:r>
          </w:p>
        </w:tc>
      </w:tr>
      <w:tr w:rsidRPr="00F27416" w:rsidR="00F27416" w:rsidTr="00870FDE" w14:paraId="54EACF7C" w14:textId="77777777">
        <w:trPr>
          <w:trHeight w:val="255"/>
        </w:trPr>
        <w:tc>
          <w:tcPr>
            <w:tcW w:w="988" w:type="dxa"/>
            <w:tcBorders>
              <w:top w:val="nil"/>
              <w:left w:val="single" w:color="auto" w:sz="4" w:space="0"/>
              <w:bottom w:val="single" w:color="auto" w:sz="4" w:space="0"/>
              <w:right w:val="single" w:color="auto" w:sz="4" w:space="0"/>
            </w:tcBorders>
            <w:shd w:val="clear" w:color="000000" w:fill="9BC2E6"/>
            <w:noWrap/>
            <w:vAlign w:val="bottom"/>
            <w:hideMark/>
          </w:tcPr>
          <w:p w:rsidRPr="00F27416" w:rsidR="00F27416" w:rsidP="00F27416" w:rsidRDefault="00F27416" w14:paraId="3EA79BC8"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072"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3F102A1D"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646"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6A2C67EF"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Cover Crop Subtotal</w:t>
            </w:r>
          </w:p>
        </w:tc>
        <w:tc>
          <w:tcPr>
            <w:tcW w:w="715"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449C2E04"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25.00</w:t>
            </w:r>
          </w:p>
        </w:tc>
        <w:tc>
          <w:tcPr>
            <w:tcW w:w="10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369E2266"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74.29%</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6B9A7FD0"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11.14</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212649D2"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17.49%</w:t>
            </w:r>
          </w:p>
        </w:tc>
      </w:tr>
      <w:tr w:rsidRPr="00F27416" w:rsidR="00F27416" w:rsidTr="00870FDE" w14:paraId="4E26553C" w14:textId="77777777">
        <w:trPr>
          <w:trHeight w:val="255"/>
        </w:trPr>
        <w:tc>
          <w:tcPr>
            <w:tcW w:w="988" w:type="dxa"/>
            <w:tcBorders>
              <w:top w:val="nil"/>
              <w:left w:val="single" w:color="auto" w:sz="4" w:space="0"/>
              <w:bottom w:val="single" w:color="auto" w:sz="4" w:space="0"/>
              <w:right w:val="single" w:color="auto" w:sz="4" w:space="0"/>
            </w:tcBorders>
            <w:shd w:val="clear" w:color="000000" w:fill="9BC2E6"/>
            <w:noWrap/>
            <w:vAlign w:val="bottom"/>
            <w:hideMark/>
          </w:tcPr>
          <w:p w:rsidRPr="00F27416" w:rsidR="00F27416" w:rsidP="00F27416" w:rsidRDefault="00F27416" w14:paraId="4F26ABDA"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072"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199BA1F0"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 </w:t>
            </w:r>
          </w:p>
        </w:tc>
        <w:tc>
          <w:tcPr>
            <w:tcW w:w="2646"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02A04291" w14:textId="77777777">
            <w:pPr>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Total</w:t>
            </w:r>
          </w:p>
        </w:tc>
        <w:tc>
          <w:tcPr>
            <w:tcW w:w="715"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59266800"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33.65</w:t>
            </w:r>
          </w:p>
        </w:tc>
        <w:tc>
          <w:tcPr>
            <w:tcW w:w="10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3170B21A"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100.00%</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4B6D61B7"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63.67</w:t>
            </w:r>
          </w:p>
        </w:tc>
        <w:tc>
          <w:tcPr>
            <w:tcW w:w="1103" w:type="dxa"/>
            <w:tcBorders>
              <w:top w:val="nil"/>
              <w:left w:val="nil"/>
              <w:bottom w:val="single" w:color="auto" w:sz="4" w:space="0"/>
              <w:right w:val="single" w:color="auto" w:sz="4" w:space="0"/>
            </w:tcBorders>
            <w:shd w:val="clear" w:color="000000" w:fill="9BC2E6"/>
            <w:noWrap/>
            <w:vAlign w:val="bottom"/>
            <w:hideMark/>
          </w:tcPr>
          <w:p w:rsidRPr="00F27416" w:rsidR="00F27416" w:rsidP="00F27416" w:rsidRDefault="00F27416" w14:paraId="3E4A9441" w14:textId="77777777">
            <w:pPr>
              <w:jc w:val="right"/>
              <w:rPr>
                <w:rFonts w:ascii="Arial" w:hAnsi="Arial" w:eastAsia="Times New Roman" w:cs="Arial"/>
                <w:b/>
                <w:bCs/>
                <w:color w:val="000000"/>
                <w:sz w:val="20"/>
                <w:szCs w:val="20"/>
              </w:rPr>
            </w:pPr>
            <w:r w:rsidRPr="00F27416">
              <w:rPr>
                <w:rFonts w:ascii="Arial" w:hAnsi="Arial" w:eastAsia="Times New Roman" w:cs="Arial"/>
                <w:b/>
                <w:bCs/>
                <w:color w:val="000000"/>
                <w:sz w:val="20"/>
                <w:szCs w:val="20"/>
              </w:rPr>
              <w:t>100.00%</w:t>
            </w:r>
          </w:p>
        </w:tc>
      </w:tr>
    </w:tbl>
    <w:p w:rsidR="00F27416" w:rsidP="00F27416" w:rsidRDefault="00F27416" w14:paraId="58B07AD6" w14:textId="77777777">
      <w:pPr>
        <w:spacing w:before="120"/>
        <w:textAlignment w:val="baseline"/>
        <w:rPr>
          <w:rStyle w:val="eop"/>
          <w:rFonts w:asciiTheme="minorHAnsi" w:hAnsiTheme="minorHAnsi" w:cstheme="minorBidi"/>
        </w:rPr>
      </w:pPr>
    </w:p>
    <w:p w:rsidR="005559D8" w:rsidP="00F27416" w:rsidRDefault="00F27416" w14:paraId="36BFEBF5" w14:textId="6289A728">
      <w:pPr>
        <w:spacing w:before="120"/>
        <w:textAlignment w:val="baseline"/>
        <w:rPr>
          <w:rFonts w:ascii="Segoe UI" w:hAnsi="Segoe UI" w:cs="Segoe UI"/>
          <w:sz w:val="18"/>
          <w:szCs w:val="18"/>
        </w:rPr>
      </w:pPr>
      <w:r>
        <w:t xml:space="preserve"> </w:t>
      </w:r>
      <w:r w:rsidR="005559D8">
        <w:rPr>
          <w:rStyle w:val="normaltextrun"/>
          <w:rFonts w:ascii="Calibri Light" w:hAnsi="Calibri Light" w:cs="Calibri Light"/>
          <w:b/>
          <w:bCs/>
          <w:sz w:val="40"/>
          <w:szCs w:val="40"/>
        </w:rPr>
        <w:t>36-411 Woodland Edge Northwest Seed Mix Guidance </w:t>
      </w:r>
      <w:r w:rsidR="005559D8">
        <w:rPr>
          <w:rStyle w:val="eop"/>
          <w:rFonts w:ascii="Calibri Light" w:hAnsi="Calibri Light" w:cs="Calibri Light"/>
          <w:sz w:val="40"/>
          <w:szCs w:val="40"/>
        </w:rPr>
        <w:t> </w:t>
      </w:r>
    </w:p>
    <w:p w:rsidR="005559D8" w:rsidP="005559D8" w:rsidRDefault="005559D8" w14:paraId="7BCBF9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(MIX IMAGE)</w:t>
      </w:r>
      <w:r>
        <w:rPr>
          <w:rStyle w:val="eop"/>
          <w:rFonts w:ascii="Calibri Light" w:hAnsi="Calibri Light" w:cs="Calibri Light"/>
          <w:sz w:val="22"/>
          <w:szCs w:val="22"/>
        </w:rPr>
        <w:t> </w:t>
      </w:r>
    </w:p>
    <w:p w:rsidR="005559D8" w:rsidP="005559D8" w:rsidRDefault="005559D8" w14:paraId="5B21731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559D8" w:rsidP="005559D8" w:rsidRDefault="005559D8" w14:paraId="2D49A01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 mix name:</w:t>
      </w:r>
      <w:r>
        <w:rPr>
          <w:rStyle w:val="normaltextrun"/>
          <w:rFonts w:ascii="Calibri" w:hAnsi="Calibri" w:cs="Calibri"/>
          <w:sz w:val="22"/>
          <w:szCs w:val="22"/>
        </w:rPr>
        <w:t xml:space="preserve"> 36-411 Woodland Edge Northwest </w:t>
      </w:r>
      <w:r>
        <w:rPr>
          <w:rStyle w:val="eop"/>
          <w:rFonts w:ascii="Calibri" w:hAnsi="Calibri" w:cs="Calibri"/>
          <w:sz w:val="22"/>
          <w:szCs w:val="22"/>
        </w:rPr>
        <w:t> </w:t>
      </w:r>
    </w:p>
    <w:p w:rsidR="005559D8" w:rsidP="005559D8" w:rsidRDefault="005559D8" w14:paraId="7C8E43B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xml:space="preserve"> Tallgrass Aspen Parklands Province.  Mn/DOT District 2(west)</w:t>
      </w:r>
      <w:r>
        <w:rPr>
          <w:rStyle w:val="eop"/>
          <w:rFonts w:ascii="Calibri" w:hAnsi="Calibri" w:cs="Calibri"/>
          <w:sz w:val="22"/>
          <w:szCs w:val="22"/>
        </w:rPr>
        <w:t> </w:t>
      </w:r>
    </w:p>
    <w:p w:rsidR="005559D8" w:rsidP="005559D8" w:rsidRDefault="005559D8" w14:paraId="78C82B9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Year of development: </w:t>
      </w:r>
      <w:r>
        <w:rPr>
          <w:rStyle w:val="normaltextrun"/>
          <w:rFonts w:ascii="Calibri" w:hAnsi="Calibri" w:cs="Calibri"/>
          <w:sz w:val="22"/>
          <w:szCs w:val="22"/>
        </w:rPr>
        <w:t>2009</w:t>
      </w:r>
      <w:r>
        <w:rPr>
          <w:rStyle w:val="eop"/>
          <w:rFonts w:ascii="Calibri" w:hAnsi="Calibri" w:cs="Calibri"/>
          <w:sz w:val="22"/>
          <w:szCs w:val="22"/>
        </w:rPr>
        <w:t> </w:t>
      </w:r>
    </w:p>
    <w:p w:rsidR="005559D8" w:rsidP="005559D8" w:rsidRDefault="005559D8" w14:paraId="323CA8D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Year/s of update:</w:t>
      </w:r>
      <w:r>
        <w:rPr>
          <w:rStyle w:val="normaltextrun"/>
          <w:rFonts w:ascii="Calibri" w:hAnsi="Calibri" w:cs="Calibri"/>
          <w:sz w:val="22"/>
          <w:szCs w:val="22"/>
        </w:rPr>
        <w:t>  2021</w:t>
      </w:r>
      <w:r>
        <w:rPr>
          <w:rStyle w:val="eop"/>
          <w:rFonts w:ascii="Calibri" w:hAnsi="Calibri" w:cs="Calibri"/>
          <w:sz w:val="22"/>
          <w:szCs w:val="22"/>
        </w:rPr>
        <w:t> </w:t>
      </w:r>
    </w:p>
    <w:p w:rsidR="005559D8" w:rsidP="005559D8" w:rsidRDefault="005559D8" w14:paraId="5C2696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Status</w:t>
      </w:r>
      <w:r>
        <w:rPr>
          <w:rStyle w:val="normaltextrun"/>
          <w:rFonts w:ascii="Calibri" w:hAnsi="Calibri" w:cs="Calibri"/>
          <w:sz w:val="22"/>
          <w:szCs w:val="22"/>
        </w:rPr>
        <w:t xml:space="preserve"> </w:t>
      </w:r>
      <w:r>
        <w:rPr>
          <w:rStyle w:val="normaltextrun"/>
          <w:rFonts w:ascii="Calibri" w:hAnsi="Calibri" w:cs="Calibri"/>
          <w:b/>
          <w:bCs/>
          <w:sz w:val="22"/>
          <w:szCs w:val="22"/>
        </w:rPr>
        <w:t>(</w:t>
      </w:r>
      <w:r>
        <w:rPr>
          <w:rStyle w:val="normaltextrun"/>
          <w:rFonts w:ascii="Calibri" w:hAnsi="Calibri" w:cs="Calibri"/>
          <w:b/>
          <w:bCs/>
          <w:i/>
          <w:iCs/>
          <w:sz w:val="22"/>
          <w:szCs w:val="22"/>
        </w:rPr>
        <w:t>Standard or Pilot mix</w:t>
      </w:r>
      <w:r>
        <w:rPr>
          <w:rStyle w:val="normaltextrun"/>
          <w:rFonts w:ascii="Calibri" w:hAnsi="Calibri" w:cs="Calibri"/>
          <w:b/>
          <w:bCs/>
          <w:sz w:val="22"/>
          <w:szCs w:val="22"/>
        </w:rPr>
        <w:t>):</w:t>
      </w:r>
      <w:r>
        <w:rPr>
          <w:rStyle w:val="normaltextrun"/>
          <w:rFonts w:ascii="Calibri" w:hAnsi="Calibri" w:cs="Calibri"/>
          <w:sz w:val="22"/>
          <w:szCs w:val="22"/>
        </w:rPr>
        <w:t xml:space="preserve"> Standard</w:t>
      </w:r>
      <w:r>
        <w:rPr>
          <w:rStyle w:val="eop"/>
          <w:rFonts w:ascii="Calibri" w:hAnsi="Calibri" w:cs="Calibri"/>
          <w:sz w:val="22"/>
          <w:szCs w:val="22"/>
        </w:rPr>
        <w:t> </w:t>
      </w:r>
    </w:p>
    <w:p w:rsidR="005559D8" w:rsidP="005559D8" w:rsidRDefault="005559D8" w14:paraId="4F5C142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rsidR="005559D8" w:rsidP="005559D8" w:rsidRDefault="005559D8" w14:paraId="1A7E649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Primary</w:t>
      </w:r>
      <w:r>
        <w:rPr>
          <w:rStyle w:val="normaltextrun"/>
          <w:rFonts w:ascii="Calibri" w:hAnsi="Calibri" w:cs="Calibri"/>
          <w:sz w:val="22"/>
          <w:szCs w:val="22"/>
        </w:rPr>
        <w:t xml:space="preserve"> – Partly shaded grassland planting for native roadsides, reclamation, etc.</w:t>
      </w:r>
      <w:r>
        <w:rPr>
          <w:rStyle w:val="eop"/>
          <w:rFonts w:ascii="Calibri" w:hAnsi="Calibri" w:cs="Calibri"/>
          <w:sz w:val="22"/>
          <w:szCs w:val="22"/>
        </w:rPr>
        <w:t> </w:t>
      </w:r>
    </w:p>
    <w:p w:rsidR="005559D8" w:rsidP="005559D8" w:rsidRDefault="005559D8" w14:paraId="7DE63D8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Secondary</w:t>
      </w:r>
      <w:r>
        <w:rPr>
          <w:rStyle w:val="normaltextrun"/>
          <w:rFonts w:ascii="Calibri" w:hAnsi="Calibri" w:cs="Calibri"/>
          <w:sz w:val="22"/>
          <w:szCs w:val="22"/>
        </w:rPr>
        <w:t xml:space="preserve"> – Carbon sequestration, wildlife habitat, emission reductions, water quality</w:t>
      </w:r>
      <w:r>
        <w:rPr>
          <w:rStyle w:val="eop"/>
          <w:rFonts w:ascii="Calibri" w:hAnsi="Calibri" w:cs="Calibri"/>
          <w:sz w:val="22"/>
          <w:szCs w:val="22"/>
        </w:rPr>
        <w:t> </w:t>
      </w:r>
    </w:p>
    <w:p w:rsidR="005559D8" w:rsidP="005559D8" w:rsidRDefault="005559D8" w14:paraId="04D2B51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Similar State Mixes: </w:t>
      </w:r>
      <w:r>
        <w:rPr>
          <w:rStyle w:val="normaltextrun"/>
          <w:rFonts w:ascii="Calibri" w:hAnsi="Calibri" w:cs="Calibri"/>
          <w:sz w:val="22"/>
          <w:szCs w:val="22"/>
        </w:rPr>
        <w:t>36-211, 36-311, 36-711</w:t>
      </w:r>
      <w:r>
        <w:rPr>
          <w:rStyle w:val="eop"/>
          <w:rFonts w:ascii="Calibri" w:hAnsi="Calibri" w:cs="Calibri"/>
          <w:sz w:val="22"/>
          <w:szCs w:val="22"/>
        </w:rPr>
        <w:t> </w:t>
      </w:r>
    </w:p>
    <w:p w:rsidR="005559D8" w:rsidP="37B4B872" w:rsidRDefault="005559D8" w14:paraId="22790500" w14:textId="53F302C1">
      <w:pPr>
        <w:pStyle w:val="paragraph"/>
        <w:spacing w:before="0" w:beforeAutospacing="0" w:after="0" w:afterAutospacing="0"/>
        <w:textAlignment w:val="baseline"/>
        <w:rPr>
          <w:rFonts w:ascii="Segoe UI" w:hAnsi="Segoe UI" w:cs="Segoe UI"/>
          <w:sz w:val="18"/>
          <w:szCs w:val="18"/>
        </w:rPr>
      </w:pPr>
      <w:r w:rsidRPr="37B4B872">
        <w:rPr>
          <w:rStyle w:val="normaltextrun"/>
          <w:rFonts w:ascii="Calibri" w:hAnsi="Calibri" w:cs="Calibri"/>
          <w:b/>
          <w:bCs/>
          <w:sz w:val="22"/>
          <w:szCs w:val="22"/>
        </w:rPr>
        <w:t>Compatible NRCS Practice Standards:</w:t>
      </w:r>
      <w:r w:rsidRPr="37B4B872">
        <w:rPr>
          <w:rStyle w:val="normaltextrun"/>
          <w:rFonts w:ascii="Calibri" w:hAnsi="Calibri" w:cs="Calibri"/>
          <w:sz w:val="22"/>
          <w:szCs w:val="22"/>
        </w:rPr>
        <w:t> </w:t>
      </w:r>
      <w:r w:rsidRPr="37B4B872">
        <w:rPr>
          <w:rStyle w:val="eop"/>
          <w:rFonts w:ascii="Calibri" w:hAnsi="Calibri" w:cs="Calibri"/>
          <w:sz w:val="22"/>
          <w:szCs w:val="22"/>
        </w:rPr>
        <w:t> </w:t>
      </w:r>
      <w:r w:rsidRPr="37B4B872" w:rsidR="2A01F54F">
        <w:rPr>
          <w:rStyle w:val="eop"/>
          <w:rFonts w:ascii="Calibri" w:hAnsi="Calibri" w:cs="Calibri"/>
          <w:sz w:val="22"/>
          <w:szCs w:val="22"/>
        </w:rPr>
        <w:t>None</w:t>
      </w:r>
    </w:p>
    <w:p w:rsidR="005559D8" w:rsidP="37B4B872" w:rsidRDefault="005559D8" w14:paraId="17C190D7" w14:textId="3FBAB06D">
      <w:pPr>
        <w:pStyle w:val="paragraph"/>
        <w:spacing w:before="0" w:beforeAutospacing="0" w:after="0" w:afterAutospacing="0"/>
        <w:textAlignment w:val="baseline"/>
        <w:rPr>
          <w:rFonts w:ascii="Segoe UI" w:hAnsi="Segoe UI" w:cs="Segoe UI"/>
          <w:sz w:val="18"/>
          <w:szCs w:val="18"/>
        </w:rPr>
      </w:pPr>
      <w:r w:rsidRPr="37B4B872">
        <w:rPr>
          <w:rStyle w:val="normaltextrun"/>
          <w:rFonts w:ascii="Calibri" w:hAnsi="Calibri" w:cs="Calibri"/>
          <w:b/>
          <w:bCs/>
          <w:sz w:val="22"/>
          <w:szCs w:val="22"/>
        </w:rPr>
        <w:t>Compatible Minnesota CRP Practices:</w:t>
      </w:r>
      <w:r w:rsidRPr="37B4B872">
        <w:rPr>
          <w:rStyle w:val="normaltextrun"/>
          <w:rFonts w:ascii="Calibri" w:hAnsi="Calibri" w:cs="Calibri"/>
          <w:sz w:val="22"/>
          <w:szCs w:val="22"/>
        </w:rPr>
        <w:t> </w:t>
      </w:r>
      <w:r w:rsidRPr="37B4B872">
        <w:rPr>
          <w:rStyle w:val="eop"/>
          <w:rFonts w:ascii="Calibri" w:hAnsi="Calibri" w:cs="Calibri"/>
          <w:sz w:val="22"/>
          <w:szCs w:val="22"/>
        </w:rPr>
        <w:t> </w:t>
      </w:r>
      <w:r w:rsidRPr="37B4B872" w:rsidR="5BE49BE6">
        <w:rPr>
          <w:rStyle w:val="eop"/>
          <w:rFonts w:ascii="Calibri" w:hAnsi="Calibri" w:cs="Calibri"/>
          <w:sz w:val="22"/>
          <w:szCs w:val="22"/>
        </w:rPr>
        <w:t>None</w:t>
      </w:r>
    </w:p>
    <w:p w:rsidR="005559D8" w:rsidP="005559D8" w:rsidRDefault="005559D8" w14:paraId="77DE58A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559D8" w:rsidP="005559D8" w:rsidRDefault="005559D8" w14:paraId="27FBE2A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Suitable Site Conditions</w:t>
      </w:r>
      <w:r>
        <w:rPr>
          <w:rStyle w:val="eop"/>
          <w:rFonts w:ascii="Calibri" w:hAnsi="Calibri" w:cs="Calibri"/>
          <w:sz w:val="22"/>
          <w:szCs w:val="22"/>
        </w:rPr>
        <w:t> </w:t>
      </w:r>
    </w:p>
    <w:p w:rsidR="005559D8" w:rsidP="005559D8" w:rsidRDefault="005559D8" w14:paraId="0531D39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Areas with dry to mesic soils and part sun for at least 50% of the day where land is being converted from other uses such as lawn, or agricultural fields like row crops or pasture.</w:t>
      </w:r>
      <w:r>
        <w:rPr>
          <w:rStyle w:val="eop"/>
          <w:rFonts w:ascii="Calibri" w:hAnsi="Calibri" w:cs="Calibri"/>
          <w:sz w:val="22"/>
          <w:szCs w:val="22"/>
        </w:rPr>
        <w:t> </w:t>
      </w:r>
    </w:p>
    <w:p w:rsidR="005559D8" w:rsidP="005559D8" w:rsidRDefault="005559D8" w14:paraId="638F1B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eop"/>
          <w:rFonts w:ascii="Calibri" w:hAnsi="Calibri" w:cs="Calibri"/>
          <w:sz w:val="22"/>
          <w:szCs w:val="22"/>
        </w:rPr>
        <w:t> </w:t>
      </w:r>
    </w:p>
    <w:p w:rsidR="005559D8" w:rsidP="005559D8" w:rsidRDefault="005559D8" w14:paraId="042F254C" w14:textId="62CAD5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species substitution and diversity list to adjust as needed for site conditions.</w:t>
      </w:r>
      <w:r w:rsidR="00590C08">
        <w:rPr>
          <w:rStyle w:val="normaltextrun"/>
          <w:rFonts w:ascii="Calibri" w:hAnsi="Calibri" w:cs="Calibri"/>
          <w:sz w:val="22"/>
          <w:szCs w:val="22"/>
        </w:rPr>
        <w:t xml:space="preserve">  </w:t>
      </w:r>
      <w:r>
        <w:rPr>
          <w:rStyle w:val="normaltextrun"/>
          <w:rFonts w:ascii="Calibri" w:hAnsi="Calibri" w:cs="Calibri"/>
          <w:sz w:val="22"/>
          <w:szCs w:val="22"/>
        </w:rPr>
        <w:t xml:space="preserve">Use the </w:t>
      </w:r>
      <w:hyperlink w:tgtFrame="_blank" w:history="1" r:id="rId9">
        <w:r>
          <w:rPr>
            <w:rStyle w:val="normaltextrun"/>
            <w:rFonts w:ascii="Calibri" w:hAnsi="Calibri" w:cs="Calibri"/>
            <w:color w:val="0563C1"/>
            <w:sz w:val="22"/>
            <w:szCs w:val="22"/>
            <w:u w:val="single"/>
          </w:rPr>
          <w:t>BWSR Seed Mix Substitution Table</w:t>
        </w:r>
      </w:hyperlink>
      <w:r>
        <w:rPr>
          <w:rStyle w:val="normaltextrun"/>
          <w:rFonts w:ascii="Calibri" w:hAnsi="Calibri" w:cs="Calibri"/>
          <w:sz w:val="22"/>
          <w:szCs w:val="22"/>
        </w:rPr>
        <w:t xml:space="preserve"> when species are not available from vendors, or the landowner has alternative goals for the site.</w:t>
      </w:r>
      <w:r>
        <w:rPr>
          <w:rStyle w:val="eop"/>
          <w:rFonts w:ascii="Calibri" w:hAnsi="Calibri" w:cs="Calibri"/>
          <w:sz w:val="22"/>
          <w:szCs w:val="22"/>
        </w:rPr>
        <w:t> </w:t>
      </w:r>
    </w:p>
    <w:p w:rsidR="005559D8" w:rsidP="005559D8" w:rsidRDefault="005559D8" w14:paraId="3E1C280A" w14:textId="77777777">
      <w:pPr>
        <w:pStyle w:val="paragraph"/>
        <w:spacing w:before="0" w:beforeAutospacing="0" w:after="0" w:afterAutospacing="0"/>
        <w:textAlignment w:val="baseline"/>
        <w:rPr>
          <w:rStyle w:val="normaltextrun"/>
          <w:rFonts w:ascii="Calibri" w:hAnsi="Calibri" w:cs="Calibri"/>
          <w:b/>
          <w:bCs/>
          <w:color w:val="000000"/>
          <w:sz w:val="22"/>
          <w:szCs w:val="22"/>
        </w:rPr>
      </w:pPr>
    </w:p>
    <w:p w:rsidR="005559D8" w:rsidP="005559D8" w:rsidRDefault="005559D8" w14:paraId="1FB6920E" w14:textId="11ECA25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Site Preparation</w:t>
      </w:r>
      <w:r>
        <w:rPr>
          <w:rStyle w:val="eop"/>
          <w:rFonts w:ascii="Calibri" w:hAnsi="Calibri" w:cs="Calibri"/>
          <w:color w:val="000000"/>
          <w:sz w:val="22"/>
          <w:szCs w:val="22"/>
        </w:rPr>
        <w:t> </w:t>
      </w:r>
    </w:p>
    <w:p w:rsidR="005559D8" w:rsidP="005559D8" w:rsidRDefault="005559D8" w14:paraId="3A0DD477"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Pr>
          <w:rStyle w:val="advancedproofingissue"/>
          <w:rFonts w:ascii="Calibri" w:hAnsi="Calibri" w:cs="Calibri"/>
          <w:color w:val="000000"/>
          <w:sz w:val="22"/>
          <w:szCs w:val="22"/>
        </w:rPr>
        <w:t>as long as</w:t>
      </w:r>
      <w:proofErr w:type="gramEnd"/>
      <w:r>
        <w:rPr>
          <w:rStyle w:val="normaltextrun"/>
          <w:rFonts w:ascii="Calibri" w:hAnsi="Calibri" w:cs="Calibri"/>
          <w:color w:val="000000"/>
          <w:sz w:val="22"/>
          <w:szCs w:val="22"/>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w:t>
      </w:r>
      <w:r>
        <w:rPr>
          <w:rStyle w:val="normaltextrun"/>
          <w:rFonts w:ascii="Calibri" w:hAnsi="Calibri" w:cs="Calibri"/>
          <w:color w:val="000000"/>
          <w:sz w:val="22"/>
          <w:szCs w:val="22"/>
        </w:rPr>
        <w:lastRenderedPageBreak/>
        <w:t xml:space="preserve">seasons to allow the chemicals to break down in the soil. For more details on organic or pesticide-free site preparation techniques, see the Xerces Society guide,  </w:t>
      </w:r>
      <w:hyperlink w:tgtFrame="_blank" w:history="1" r:id="rId10">
        <w:r>
          <w:rPr>
            <w:rStyle w:val="normaltextrun"/>
            <w:rFonts w:ascii="Calibri" w:hAnsi="Calibri" w:cs="Calibri"/>
            <w:color w:val="0563C1"/>
            <w:sz w:val="22"/>
            <w:szCs w:val="22"/>
            <w:u w:val="single"/>
          </w:rPr>
          <w:t>Organic Site Preparation for Wildflower Establishment</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559D8" w:rsidP="005559D8" w:rsidRDefault="005559D8" w14:paraId="40EE52D6" w14:textId="77777777">
      <w:pPr>
        <w:pStyle w:val="paragraph"/>
        <w:spacing w:before="0" w:beforeAutospacing="0" w:after="0" w:afterAutospacing="0"/>
        <w:textAlignment w:val="baseline"/>
        <w:rPr>
          <w:rStyle w:val="normaltextrun"/>
          <w:rFonts w:ascii="Calibri" w:hAnsi="Calibri" w:cs="Calibri"/>
          <w:b/>
          <w:bCs/>
          <w:sz w:val="22"/>
          <w:szCs w:val="22"/>
        </w:rPr>
      </w:pPr>
    </w:p>
    <w:p w:rsidR="005559D8" w:rsidP="005559D8" w:rsidRDefault="005559D8" w14:paraId="3F9CA79B" w14:textId="171CA4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Dates </w:t>
      </w:r>
      <w:r>
        <w:rPr>
          <w:rStyle w:val="eop"/>
          <w:rFonts w:ascii="Calibri" w:hAnsi="Calibri" w:cs="Calibri"/>
          <w:sz w:val="22"/>
          <w:szCs w:val="22"/>
        </w:rPr>
        <w:t> </w:t>
      </w:r>
    </w:p>
    <w:p w:rsidR="005559D8" w:rsidP="005559D8" w:rsidRDefault="005559D8" w14:paraId="77D6BE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Pr>
          <w:rStyle w:val="advancedproofingissue"/>
          <w:rFonts w:ascii="Calibri" w:hAnsi="Calibri" w:cs="Calibri"/>
          <w:color w:val="000000"/>
          <w:sz w:val="22"/>
          <w:szCs w:val="22"/>
        </w:rPr>
        <w:t>period of time</w:t>
      </w:r>
      <w:proofErr w:type="gramEnd"/>
      <w:r>
        <w:rPr>
          <w:rStyle w:val="normaltextrun"/>
          <w:rFonts w:ascii="Calibri" w:hAnsi="Calibri" w:cs="Calibri"/>
          <w:color w:val="000000"/>
          <w:sz w:val="22"/>
          <w:szCs w:val="22"/>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r>
        <w:rPr>
          <w:rStyle w:val="eop"/>
          <w:rFonts w:ascii="Calibri" w:hAnsi="Calibri" w:cs="Calibri"/>
          <w:color w:val="000000"/>
          <w:sz w:val="22"/>
          <w:szCs w:val="22"/>
        </w:rPr>
        <w:t> </w:t>
      </w:r>
    </w:p>
    <w:p w:rsidR="005559D8" w:rsidP="005559D8" w:rsidRDefault="005559D8" w14:paraId="7EFEFC29" w14:textId="77777777">
      <w:pPr>
        <w:pStyle w:val="paragraph"/>
        <w:spacing w:before="0" w:beforeAutospacing="0" w:after="0" w:afterAutospacing="0"/>
        <w:textAlignment w:val="baseline"/>
        <w:rPr>
          <w:rStyle w:val="normaltextrun"/>
          <w:rFonts w:ascii="Calibri" w:hAnsi="Calibri" w:cs="Calibri"/>
          <w:b/>
          <w:bCs/>
          <w:sz w:val="22"/>
          <w:szCs w:val="22"/>
        </w:rPr>
      </w:pPr>
    </w:p>
    <w:p w:rsidR="005559D8" w:rsidP="6C85B96F" w:rsidRDefault="005559D8" w14:paraId="046A26BD" w14:textId="20C49ED8">
      <w:pPr>
        <w:pStyle w:val="paragraph"/>
        <w:spacing w:before="0" w:beforeAutospacing="off" w:after="0" w:afterAutospacing="off"/>
        <w:textAlignment w:val="baseline"/>
        <w:rPr>
          <w:rFonts w:ascii="Segoe UI" w:hAnsi="Segoe UI" w:cs="Segoe UI"/>
          <w:sz w:val="18"/>
          <w:szCs w:val="18"/>
        </w:rPr>
      </w:pPr>
      <w:r w:rsidRPr="6C85B96F" w:rsidR="005559D8">
        <w:rPr>
          <w:rStyle w:val="normaltextrun"/>
          <w:rFonts w:ascii="Calibri" w:hAnsi="Calibri" w:cs="Calibri"/>
          <w:b w:val="1"/>
          <w:bCs w:val="1"/>
          <w:sz w:val="22"/>
          <w:szCs w:val="22"/>
        </w:rPr>
        <w:t xml:space="preserve">Seedbed </w:t>
      </w:r>
      <w:r w:rsidRPr="6C85B96F" w:rsidR="32C3BBF7">
        <w:rPr>
          <w:rStyle w:val="normaltextrun"/>
          <w:rFonts w:ascii="Calibri" w:hAnsi="Calibri" w:cs="Calibri"/>
          <w:b w:val="1"/>
          <w:bCs w:val="1"/>
          <w:sz w:val="22"/>
          <w:szCs w:val="22"/>
        </w:rPr>
        <w:t>P</w:t>
      </w:r>
      <w:r w:rsidRPr="6C85B96F" w:rsidR="005559D8">
        <w:rPr>
          <w:rStyle w:val="normaltextrun"/>
          <w:rFonts w:ascii="Calibri" w:hAnsi="Calibri" w:cs="Calibri"/>
          <w:b w:val="1"/>
          <w:bCs w:val="1"/>
          <w:sz w:val="22"/>
          <w:szCs w:val="22"/>
        </w:rPr>
        <w:t>reparation </w:t>
      </w:r>
      <w:r w:rsidRPr="6C85B96F" w:rsidR="005559D8">
        <w:rPr>
          <w:rStyle w:val="eop"/>
          <w:rFonts w:ascii="Calibri" w:hAnsi="Calibri" w:cs="Calibri"/>
          <w:sz w:val="22"/>
          <w:szCs w:val="22"/>
        </w:rPr>
        <w:t> </w:t>
      </w:r>
    </w:p>
    <w:p w:rsidR="005559D8" w:rsidP="005559D8" w:rsidRDefault="005559D8" w14:paraId="775CDBED"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Pr>
          <w:rStyle w:val="spellingerror"/>
          <w:rFonts w:ascii="Calibri" w:hAnsi="Calibri" w:cs="Calibri"/>
          <w:color w:val="000000"/>
          <w:sz w:val="22"/>
          <w:szCs w:val="22"/>
        </w:rPr>
        <w:t>cultipacked</w:t>
      </w:r>
      <w:proofErr w:type="spellEnd"/>
      <w:r>
        <w:rPr>
          <w:rStyle w:val="normaltextrun"/>
          <w:rFonts w:ascii="Calibri" w:hAnsi="Calibri" w:cs="Calibri"/>
          <w:color w:val="000000"/>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rStyle w:val="spellingerror"/>
          <w:rFonts w:ascii="Calibri" w:hAnsi="Calibri" w:cs="Calibri"/>
          <w:color w:val="000000"/>
          <w:sz w:val="22"/>
          <w:szCs w:val="22"/>
        </w:rPr>
        <w:t>cultipacking</w:t>
      </w:r>
      <w:proofErr w:type="spellEnd"/>
      <w:r>
        <w:rPr>
          <w:rStyle w:val="normaltextrun"/>
          <w:rFonts w:ascii="Calibri" w:hAnsi="Calibri" w:cs="Calibri"/>
          <w:color w:val="000000"/>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https://bwsr.state.mn.us/habitat-establishment-management-resources</w:t>
      </w:r>
      <w:r>
        <w:rPr>
          <w:rStyle w:val="eop"/>
          <w:rFonts w:ascii="Calibri" w:hAnsi="Calibri" w:cs="Calibri"/>
          <w:color w:val="000000"/>
          <w:sz w:val="22"/>
          <w:szCs w:val="22"/>
        </w:rPr>
        <w:t> </w:t>
      </w:r>
    </w:p>
    <w:p w:rsidR="005559D8" w:rsidP="005559D8" w:rsidRDefault="005559D8" w14:paraId="240E6648" w14:textId="77777777">
      <w:pPr>
        <w:pStyle w:val="paragraph"/>
        <w:spacing w:before="0" w:beforeAutospacing="0" w:after="0" w:afterAutospacing="0"/>
        <w:textAlignment w:val="baseline"/>
        <w:rPr>
          <w:rStyle w:val="normaltextrun"/>
          <w:rFonts w:ascii="Calibri" w:hAnsi="Calibri" w:cs="Calibri"/>
          <w:b/>
          <w:bCs/>
          <w:i/>
          <w:iCs/>
          <w:color w:val="000000"/>
          <w:sz w:val="22"/>
          <w:szCs w:val="22"/>
        </w:rPr>
      </w:pPr>
    </w:p>
    <w:p w:rsidRPr="005559D8" w:rsidR="005559D8" w:rsidP="005559D8" w:rsidRDefault="005559D8" w14:paraId="406E06F0" w14:textId="3836A96C">
      <w:pPr>
        <w:pStyle w:val="paragraph"/>
        <w:spacing w:before="0" w:beforeAutospacing="0" w:after="0" w:afterAutospacing="0"/>
        <w:textAlignment w:val="baseline"/>
        <w:rPr>
          <w:rFonts w:ascii="Segoe UI" w:hAnsi="Segoe UI" w:cs="Segoe UI"/>
          <w:sz w:val="18"/>
          <w:szCs w:val="18"/>
        </w:rPr>
      </w:pPr>
      <w:r w:rsidRPr="005559D8">
        <w:rPr>
          <w:rStyle w:val="normaltextrun"/>
          <w:rFonts w:ascii="Calibri" w:hAnsi="Calibri" w:cs="Calibri"/>
          <w:b/>
          <w:bCs/>
          <w:color w:val="000000"/>
          <w:sz w:val="22"/>
          <w:szCs w:val="22"/>
        </w:rPr>
        <w:t>Temporary Cover Crops and Mulch </w:t>
      </w:r>
      <w:r w:rsidRPr="005559D8">
        <w:rPr>
          <w:rStyle w:val="eop"/>
          <w:rFonts w:ascii="Calibri" w:hAnsi="Calibri" w:cs="Calibri"/>
          <w:color w:val="000000"/>
          <w:sz w:val="22"/>
          <w:szCs w:val="22"/>
        </w:rPr>
        <w:t> </w:t>
      </w:r>
    </w:p>
    <w:p w:rsidR="005559D8" w:rsidP="005559D8" w:rsidRDefault="005559D8" w14:paraId="580CF82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Short-lived temporary cover crops can help stabilize project sites in preparation for planting native seed mixes. Cover crops such as oats (the </w:t>
      </w:r>
      <w:proofErr w:type="gramStart"/>
      <w:r>
        <w:rPr>
          <w:rStyle w:val="advancedproofingissue"/>
          <w:rFonts w:ascii="Calibri" w:hAnsi="Calibri" w:cs="Calibri"/>
          <w:color w:val="000000"/>
          <w:sz w:val="22"/>
          <w:szCs w:val="22"/>
        </w:rPr>
        <w:t>most commonly used</w:t>
      </w:r>
      <w:proofErr w:type="gramEnd"/>
      <w:r>
        <w:rPr>
          <w:rStyle w:val="normaltextrun"/>
          <w:rFonts w:ascii="Calibri" w:hAnsi="Calibri" w:cs="Calibri"/>
          <w:color w:val="000000"/>
          <w:sz w:val="22"/>
          <w:szCs w:val="22"/>
        </w:rPr>
        <w:t xml:space="preserve"> species) should be mowed to 10-12 inches before seeds mature (or harvested upon maturity) to prevent re-seeding. Other cover crops typically used in agricultural fields, such as buckwheat, winter wheat, sorghum </w:t>
      </w:r>
      <w:proofErr w:type="spellStart"/>
      <w:r>
        <w:rPr>
          <w:rStyle w:val="spellingerror"/>
          <w:rFonts w:ascii="Calibri" w:hAnsi="Calibri" w:cs="Calibri"/>
          <w:color w:val="000000"/>
          <w:sz w:val="22"/>
          <w:szCs w:val="22"/>
        </w:rPr>
        <w:t>sudangrass</w:t>
      </w:r>
      <w:proofErr w:type="spellEnd"/>
      <w:r>
        <w:rPr>
          <w:rStyle w:val="normaltextrun"/>
          <w:rFonts w:ascii="Calibri" w:hAnsi="Calibri" w:cs="Calibri"/>
          <w:color w:val="000000"/>
          <w:sz w:val="22"/>
          <w:szCs w:val="22"/>
        </w:rPr>
        <w:t>, and radishes, can help stabilize soil, build soil health, or provide weed competition as part of restoration projects. Residues from temporary covers should be minimized prior to seeding to increase seed to soil contact. </w:t>
      </w:r>
      <w:r>
        <w:rPr>
          <w:rStyle w:val="eop"/>
          <w:rFonts w:ascii="Calibri" w:hAnsi="Calibri" w:cs="Calibri"/>
          <w:color w:val="000000"/>
          <w:sz w:val="22"/>
          <w:szCs w:val="22"/>
        </w:rPr>
        <w:t> </w:t>
      </w:r>
    </w:p>
    <w:p w:rsidR="005559D8" w:rsidP="005559D8" w:rsidRDefault="005559D8" w14:paraId="71FDFF43" w14:textId="77777777">
      <w:pPr>
        <w:pStyle w:val="paragraph"/>
        <w:spacing w:before="0" w:beforeAutospacing="0" w:after="0" w:afterAutospacing="0"/>
        <w:textAlignment w:val="baseline"/>
        <w:rPr>
          <w:rStyle w:val="normaltextrun"/>
          <w:rFonts w:ascii="Calibri" w:hAnsi="Calibri" w:cs="Calibri"/>
          <w:b/>
          <w:bCs/>
          <w:sz w:val="22"/>
          <w:szCs w:val="22"/>
        </w:rPr>
      </w:pPr>
    </w:p>
    <w:p w:rsidR="005559D8" w:rsidP="005559D8" w:rsidRDefault="005559D8" w14:paraId="04980D1E" w14:textId="08BDBC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Methods</w:t>
      </w:r>
      <w:r>
        <w:rPr>
          <w:rStyle w:val="eop"/>
          <w:rFonts w:ascii="Calibri" w:hAnsi="Calibri" w:cs="Calibri"/>
          <w:sz w:val="22"/>
          <w:szCs w:val="22"/>
        </w:rPr>
        <w:t> </w:t>
      </w:r>
    </w:p>
    <w:p w:rsidR="005559D8" w:rsidP="005559D8" w:rsidRDefault="005559D8" w14:paraId="583BE6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Pr>
          <w:rStyle w:val="normaltextrun"/>
          <w:rFonts w:ascii="Calibri" w:hAnsi="Calibri" w:cs="Calibri"/>
          <w:sz w:val="22"/>
          <w:szCs w:val="22"/>
        </w:rPr>
        <w:t>large</w:t>
      </w:r>
      <w:proofErr w:type="gramEnd"/>
      <w:r>
        <w:rPr>
          <w:rStyle w:val="normaltextrun"/>
          <w:rFonts w:ascii="Calibri" w:hAnsi="Calibri" w:cs="Calibri"/>
          <w:sz w:val="22"/>
          <w:szCs w:val="22"/>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(e.g., Vicon Seeders). NRCS recommends broadcast seeding at a rate of 1.5 times the normal seeding rate and </w:t>
      </w:r>
      <w:proofErr w:type="spellStart"/>
      <w:r>
        <w:rPr>
          <w:rStyle w:val="spellingerror"/>
          <w:rFonts w:ascii="Calibri" w:hAnsi="Calibri" w:cs="Calibri"/>
          <w:sz w:val="22"/>
          <w:szCs w:val="22"/>
        </w:rPr>
        <w:t>cultipacking</w:t>
      </w:r>
      <w:proofErr w:type="spellEnd"/>
      <w:r>
        <w:rPr>
          <w:rStyle w:val="normaltextrun"/>
          <w:rFonts w:ascii="Calibri" w:hAnsi="Calibri" w:cs="Calibri"/>
          <w:sz w:val="22"/>
          <w:szCs w:val="22"/>
        </w:rPr>
        <w:t xml:space="preserve"> after seeding (based on Agronomy Tech Note 31). </w:t>
      </w:r>
      <w:r>
        <w:rPr>
          <w:rStyle w:val="eop"/>
          <w:rFonts w:ascii="Calibri" w:hAnsi="Calibri" w:cs="Calibri"/>
          <w:sz w:val="22"/>
          <w:szCs w:val="22"/>
        </w:rPr>
        <w:t> </w:t>
      </w:r>
    </w:p>
    <w:p w:rsidR="005559D8" w:rsidP="005559D8" w:rsidRDefault="005559D8" w14:paraId="66168373" w14:textId="77777777">
      <w:pPr>
        <w:pStyle w:val="paragraph"/>
        <w:spacing w:before="0" w:beforeAutospacing="0" w:after="0" w:afterAutospacing="0"/>
        <w:textAlignment w:val="baseline"/>
        <w:rPr>
          <w:rStyle w:val="normaltextrun"/>
          <w:rFonts w:ascii="Calibri" w:hAnsi="Calibri" w:cs="Calibri"/>
          <w:b/>
          <w:bCs/>
          <w:sz w:val="22"/>
          <w:szCs w:val="22"/>
        </w:rPr>
      </w:pPr>
    </w:p>
    <w:p w:rsidRPr="009774BB" w:rsidR="00590C08" w:rsidP="005559D8" w:rsidRDefault="005559D8" w14:paraId="290EE8B8" w14:textId="4B30281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lastRenderedPageBreak/>
        <w:t>Management Methods </w:t>
      </w:r>
    </w:p>
    <w:p w:rsidR="005559D8" w:rsidP="005559D8" w:rsidRDefault="005559D8" w14:paraId="681EEE7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Integrated Pest Management</w:t>
      </w:r>
      <w:r>
        <w:rPr>
          <w:rStyle w:val="normaltextrun"/>
          <w:rFonts w:ascii="Calibri" w:hAnsi="Calibri" w:cs="Calibri"/>
          <w:i/>
          <w:iCs/>
          <w:sz w:val="23"/>
          <w:szCs w:val="23"/>
        </w:rPr>
        <w:t xml:space="preserve"> – </w:t>
      </w:r>
      <w:r>
        <w:rPr>
          <w:rStyle w:val="normaltextrun"/>
          <w:rFonts w:ascii="Calibri" w:hAnsi="Calibri" w:cs="Calibri"/>
          <w:color w:val="212121"/>
          <w:sz w:val="22"/>
          <w:szCs w:val="22"/>
          <w:shd w:val="clear" w:color="auto" w:fill="FFFFFF"/>
        </w:rPr>
        <w:t xml:space="preserve">Land managers and seed mix practitioners should utilize </w:t>
      </w:r>
      <w:hyperlink w:tgtFrame="_blank" w:history="1" r:id="rId11">
        <w:r>
          <w:rPr>
            <w:rStyle w:val="normaltextrun"/>
            <w:rFonts w:ascii="Calibri" w:hAnsi="Calibri" w:cs="Calibri"/>
            <w:color w:val="2F5496"/>
            <w:sz w:val="22"/>
            <w:szCs w:val="22"/>
            <w:u w:val="single"/>
            <w:shd w:val="clear" w:color="auto" w:fill="FFFFFF"/>
          </w:rPr>
          <w:t>Integrated Pest Management</w:t>
        </w:r>
      </w:hyperlink>
      <w:r>
        <w:rPr>
          <w:rStyle w:val="normaltextrun"/>
          <w:rFonts w:ascii="Calibri" w:hAnsi="Calibri" w:cs="Calibri"/>
          <w:color w:val="212121"/>
          <w:sz w:val="22"/>
          <w:szCs w:val="22"/>
          <w:shd w:val="clear" w:color="auto" w:fill="FFFFFF"/>
        </w:rPr>
        <w:t xml:space="preserve"> in their efforts to establish and manage plantings.  </w:t>
      </w:r>
      <w:r>
        <w:rPr>
          <w:rStyle w:val="normaltextrun"/>
          <w:rFonts w:ascii="Calibri" w:hAnsi="Calibri" w:cs="Calibri"/>
          <w:sz w:val="22"/>
          <w:szCs w:val="22"/>
        </w:rPr>
        <w:t xml:space="preserve">Integrated Pest Management, or IPM, </w:t>
      </w:r>
      <w:r>
        <w:rPr>
          <w:rStyle w:val="normaltextrun"/>
          <w:rFonts w:ascii="Calibri" w:hAnsi="Calibri" w:cs="Calibri"/>
          <w:color w:val="212121"/>
          <w:sz w:val="22"/>
          <w:szCs w:val="22"/>
          <w:shd w:val="clear" w:color="auto" w:fill="FFFFFF"/>
        </w:rPr>
        <w:t>is an environmentally sensitive approach to pest management that relies on the use of a combination of practices (conservation grazing, haying, prescribed burning, etc.)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r>
        <w:rPr>
          <w:rStyle w:val="eop"/>
          <w:rFonts w:ascii="Calibri" w:hAnsi="Calibri" w:cs="Calibri"/>
          <w:color w:val="212121"/>
          <w:sz w:val="22"/>
          <w:szCs w:val="22"/>
        </w:rPr>
        <w:t> </w:t>
      </w:r>
    </w:p>
    <w:p w:rsidR="005559D8" w:rsidP="005559D8" w:rsidRDefault="005559D8" w14:paraId="05AF271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 xml:space="preserve">Establishment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sz w:val="22"/>
          <w:szCs w:val="22"/>
        </w:rPr>
        <w:t>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r>
        <w:rPr>
          <w:rStyle w:val="eop"/>
          <w:rFonts w:ascii="Calibri" w:hAnsi="Calibri" w:cs="Calibri"/>
          <w:sz w:val="22"/>
          <w:szCs w:val="22"/>
        </w:rPr>
        <w:t> </w:t>
      </w:r>
    </w:p>
    <w:p w:rsidR="005559D8" w:rsidP="005559D8" w:rsidRDefault="005559D8" w14:paraId="2B7B91B8"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Prescribed Burning</w:t>
      </w:r>
      <w:r>
        <w:rPr>
          <w:rStyle w:val="normaltextrun"/>
          <w:rFonts w:ascii="Calibri" w:hAnsi="Calibri" w:cs="Calibri"/>
          <w:i/>
          <w:iCs/>
          <w:sz w:val="23"/>
          <w:szCs w:val="23"/>
        </w:rPr>
        <w:t xml:space="preserve">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w:t>
      </w:r>
      <w:proofErr w:type="gramStart"/>
      <w:r>
        <w:rPr>
          <w:rStyle w:val="contextualspellingandgrammarerror"/>
          <w:rFonts w:ascii="Calibri" w:hAnsi="Calibri" w:cs="Calibri"/>
          <w:color w:val="000000"/>
          <w:sz w:val="22"/>
          <w:szCs w:val="22"/>
        </w:rPr>
        <w:t>help</w:t>
      </w:r>
      <w:proofErr w:type="gramEnd"/>
      <w:r>
        <w:rPr>
          <w:rStyle w:val="normaltextrun"/>
          <w:rFonts w:ascii="Calibri" w:hAnsi="Calibri" w:cs="Calibri"/>
          <w:color w:val="000000"/>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r>
        <w:rPr>
          <w:rStyle w:val="eop"/>
          <w:rFonts w:ascii="Calibri" w:hAnsi="Calibri" w:cs="Calibri"/>
          <w:color w:val="000000"/>
          <w:sz w:val="22"/>
          <w:szCs w:val="22"/>
        </w:rPr>
        <w:t> </w:t>
      </w:r>
    </w:p>
    <w:p w:rsidRPr="005559D8" w:rsidR="005559D8" w:rsidP="005559D8" w:rsidRDefault="005559D8" w14:paraId="3E921D0E" w14:textId="0E4D845F">
      <w:pPr>
        <w:pStyle w:val="paragraph"/>
        <w:spacing w:before="0" w:beforeAutospacing="0" w:after="0" w:afterAutospacing="0"/>
        <w:textAlignment w:val="baseline"/>
        <w:rPr>
          <w:rFonts w:ascii="Segoe UI" w:hAnsi="Segoe UI" w:cs="Segoe UI"/>
          <w:color w:val="000000"/>
          <w:sz w:val="22"/>
          <w:szCs w:val="22"/>
        </w:rPr>
      </w:pPr>
      <w:r w:rsidRPr="005559D8">
        <w:rPr>
          <w:rStyle w:val="normaltextrun"/>
          <w:rFonts w:ascii="Calibri" w:hAnsi="Calibri" w:cs="Calibri"/>
          <w:i/>
          <w:iCs/>
          <w:color w:val="2F5496"/>
          <w:sz w:val="22"/>
          <w:szCs w:val="22"/>
        </w:rPr>
        <w:t xml:space="preserve">Spot Mowing </w:t>
      </w:r>
      <w:r w:rsidRPr="005559D8">
        <w:rPr>
          <w:rStyle w:val="normaltextrun"/>
          <w:rFonts w:ascii="Calibri" w:hAnsi="Calibri" w:cs="Calibri"/>
          <w:i/>
          <w:iCs/>
          <w:sz w:val="22"/>
          <w:szCs w:val="22"/>
        </w:rPr>
        <w:t>–</w:t>
      </w:r>
      <w:r w:rsidRPr="005559D8">
        <w:rPr>
          <w:rStyle w:val="normaltextrun"/>
          <w:rFonts w:ascii="Calibri" w:hAnsi="Calibri" w:cs="Calibri"/>
          <w:i/>
          <w:iCs/>
          <w:color w:val="2F5496"/>
          <w:sz w:val="22"/>
          <w:szCs w:val="22"/>
        </w:rPr>
        <w:t xml:space="preserve"> </w:t>
      </w:r>
      <w:r w:rsidRPr="005559D8">
        <w:rPr>
          <w:rStyle w:val="normaltextrun"/>
          <w:rFonts w:ascii="Calibri" w:hAnsi="Calibri" w:cs="Calibri"/>
          <w:color w:val="000000"/>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5559D8">
        <w:rPr>
          <w:rStyle w:val="normaltextrun"/>
          <w:rFonts w:ascii="Calibri" w:hAnsi="Calibri" w:cs="Calibri"/>
          <w:color w:val="000000"/>
          <w:sz w:val="22"/>
          <w:szCs w:val="22"/>
        </w:rPr>
        <w:t>in order to</w:t>
      </w:r>
      <w:proofErr w:type="gramEnd"/>
      <w:r w:rsidRPr="005559D8">
        <w:rPr>
          <w:rStyle w:val="normaltextrun"/>
          <w:rFonts w:ascii="Calibri" w:hAnsi="Calibri" w:cs="Calibri"/>
          <w:color w:val="000000"/>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sidRPr="005559D8">
        <w:rPr>
          <w:rStyle w:val="eop"/>
          <w:rFonts w:ascii="Calibri" w:hAnsi="Calibri" w:cs="Calibri"/>
          <w:color w:val="000000"/>
          <w:sz w:val="22"/>
          <w:szCs w:val="22"/>
        </w:rPr>
        <w:t> </w:t>
      </w:r>
    </w:p>
    <w:p w:rsidR="005559D8" w:rsidP="005559D8" w:rsidRDefault="005559D8" w14:paraId="06717A6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Management of Weeds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Pr>
          <w:rStyle w:val="normaltextrun"/>
          <w:rFonts w:ascii="Calibri" w:hAnsi="Calibri" w:cs="Calibri"/>
          <w:color w:val="212121"/>
          <w:sz w:val="22"/>
          <w:szCs w:val="22"/>
          <w:shd w:val="clear" w:color="auto" w:fill="FFFFFF"/>
        </w:rPr>
        <w:t xml:space="preserve">monitoring indicates that they </w:t>
      </w:r>
      <w:r>
        <w:rPr>
          <w:rStyle w:val="normaltextrun"/>
          <w:rFonts w:ascii="Calibri" w:hAnsi="Calibri" w:cs="Calibri"/>
          <w:color w:val="212121"/>
          <w:sz w:val="22"/>
          <w:szCs w:val="22"/>
          <w:shd w:val="clear" w:color="auto" w:fill="FFFFFF"/>
        </w:rPr>
        <w:lastRenderedPageBreak/>
        <w:t>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Pr>
          <w:rStyle w:val="normaltextrun"/>
          <w:rFonts w:ascii="Calibri" w:hAnsi="Calibri" w:cs="Calibri"/>
          <w:color w:val="000000"/>
          <w:sz w:val="22"/>
          <w:szCs w:val="22"/>
        </w:rPr>
        <w:t>hen pollinators and other insects are not active (A common approach is to mow or grazing invasive weeds in the summer followed by herbicide application in the fall). Minimize herbicide first year/spot spray year 2. Unless significant problem weeds show up.</w:t>
      </w:r>
      <w:r>
        <w:rPr>
          <w:rStyle w:val="eop"/>
          <w:rFonts w:ascii="Calibri" w:hAnsi="Calibri" w:cs="Calibri"/>
          <w:color w:val="000000"/>
          <w:sz w:val="22"/>
          <w:szCs w:val="22"/>
        </w:rPr>
        <w:t> </w:t>
      </w:r>
    </w:p>
    <w:p w:rsidR="005559D8" w:rsidP="005559D8" w:rsidRDefault="005559D8" w14:paraId="2BB72A4C" w14:textId="77777777">
      <w:pPr>
        <w:pStyle w:val="paragraph"/>
        <w:spacing w:before="0" w:beforeAutospacing="0" w:after="0" w:afterAutospacing="0"/>
        <w:textAlignment w:val="baseline"/>
        <w:rPr>
          <w:rStyle w:val="normaltextrun"/>
          <w:rFonts w:ascii="Calibri" w:hAnsi="Calibri" w:cs="Calibri"/>
          <w:b/>
          <w:bCs/>
          <w:sz w:val="22"/>
          <w:szCs w:val="22"/>
        </w:rPr>
      </w:pPr>
    </w:p>
    <w:p w:rsidR="005559D8" w:rsidP="005559D8" w:rsidRDefault="005559D8" w14:paraId="4A72875B" w14:textId="235C6C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eop"/>
          <w:rFonts w:ascii="Calibri" w:hAnsi="Calibri" w:cs="Calibri"/>
          <w:sz w:val="22"/>
          <w:szCs w:val="22"/>
        </w:rPr>
        <w:t> </w:t>
      </w:r>
    </w:p>
    <w:p w:rsidR="005559D8" w:rsidP="005559D8" w:rsidRDefault="005559D8" w14:paraId="26BF8D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During the first year of establishment, many native grasses, </w:t>
      </w:r>
      <w:proofErr w:type="gramStart"/>
      <w:r>
        <w:rPr>
          <w:rStyle w:val="normaltextrun"/>
          <w:rFonts w:ascii="Calibri" w:hAnsi="Calibri" w:cs="Calibri"/>
          <w:sz w:val="22"/>
          <w:szCs w:val="22"/>
        </w:rPr>
        <w:t>sedges</w:t>
      </w:r>
      <w:proofErr w:type="gramEnd"/>
      <w:r>
        <w:rPr>
          <w:rStyle w:val="normaltextrun"/>
          <w:rFonts w:ascii="Calibri" w:hAnsi="Calibri" w:cs="Calibri"/>
          <w:sz w:val="22"/>
          <w:szCs w:val="22"/>
        </w:rP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r>
        <w:rPr>
          <w:rStyle w:val="eop"/>
          <w:rFonts w:ascii="Calibri" w:hAnsi="Calibri" w:cs="Calibri"/>
          <w:sz w:val="22"/>
          <w:szCs w:val="22"/>
        </w:rPr>
        <w:t> </w:t>
      </w:r>
    </w:p>
    <w:p w:rsidR="005559D8" w:rsidP="005559D8" w:rsidRDefault="005559D8" w14:paraId="1D968B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rsidR="005559D8" w:rsidP="005559D8" w:rsidRDefault="005559D8" w14:paraId="6AA1C06D" w14:textId="77777777">
      <w:pPr>
        <w:pStyle w:val="paragraph"/>
        <w:spacing w:before="0" w:beforeAutospacing="0" w:after="0" w:afterAutospacing="0"/>
        <w:textAlignment w:val="baseline"/>
        <w:rPr>
          <w:rStyle w:val="normaltextrun"/>
          <w:rFonts w:ascii="Calibri" w:hAnsi="Calibri" w:cs="Calibri"/>
          <w:b/>
          <w:bCs/>
          <w:sz w:val="22"/>
          <w:szCs w:val="22"/>
        </w:rPr>
      </w:pPr>
    </w:p>
    <w:p w:rsidR="005559D8" w:rsidP="005559D8" w:rsidRDefault="005559D8" w14:paraId="336602CF" w14:textId="2CDE63A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eop"/>
          <w:rFonts w:ascii="Calibri" w:hAnsi="Calibri" w:cs="Calibri"/>
          <w:sz w:val="22"/>
          <w:szCs w:val="22"/>
        </w:rPr>
        <w:t> </w:t>
      </w:r>
    </w:p>
    <w:p w:rsidR="005559D8" w:rsidP="005559D8" w:rsidRDefault="005559D8" w14:paraId="6B86814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r>
        <w:rPr>
          <w:rStyle w:val="eop"/>
          <w:rFonts w:ascii="Calibri" w:hAnsi="Calibri" w:cs="Calibri"/>
          <w:sz w:val="22"/>
          <w:szCs w:val="22"/>
        </w:rPr>
        <w:t> </w:t>
      </w:r>
    </w:p>
    <w:p w:rsidR="005559D8" w:rsidP="005559D8" w:rsidRDefault="005559D8" w14:paraId="221AAF4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rsidR="005559D8" w:rsidP="005559D8" w:rsidRDefault="005559D8" w14:paraId="3248559F" w14:textId="77777777">
      <w:pPr>
        <w:pStyle w:val="paragraph"/>
        <w:spacing w:before="0" w:beforeAutospacing="0" w:after="0" w:afterAutospacing="0"/>
        <w:textAlignment w:val="baseline"/>
        <w:rPr>
          <w:rStyle w:val="normaltextrun"/>
          <w:rFonts w:ascii="Calibri" w:hAnsi="Calibri" w:cs="Calibri"/>
          <w:b/>
          <w:bCs/>
          <w:sz w:val="22"/>
          <w:szCs w:val="22"/>
        </w:rPr>
      </w:pPr>
    </w:p>
    <w:p w:rsidR="005559D8" w:rsidP="005559D8" w:rsidRDefault="005559D8" w14:paraId="74C3F875" w14:textId="5A600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eop"/>
          <w:rFonts w:ascii="Calibri" w:hAnsi="Calibri" w:cs="Calibri"/>
          <w:sz w:val="22"/>
          <w:szCs w:val="22"/>
        </w:rPr>
        <w:t> </w:t>
      </w:r>
    </w:p>
    <w:p w:rsidR="005559D8" w:rsidP="005559D8" w:rsidRDefault="005559D8" w14:paraId="1D1F986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the end of year three many of the native plants will be mature and should start flowering. There may be some species that are slow to establish and may not show up for several years. </w:t>
      </w:r>
      <w:r>
        <w:rPr>
          <w:rStyle w:val="eop"/>
          <w:rFonts w:ascii="Calibri" w:hAnsi="Calibri" w:cs="Calibri"/>
          <w:sz w:val="22"/>
          <w:szCs w:val="22"/>
        </w:rPr>
        <w:t> </w:t>
      </w:r>
    </w:p>
    <w:p w:rsidR="005559D8" w:rsidP="005559D8" w:rsidRDefault="005559D8" w14:paraId="6025FFC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559D8" w:rsidP="005559D8" w:rsidRDefault="005559D8" w14:paraId="2CD2722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 Solving</w:t>
      </w:r>
      <w:r>
        <w:rPr>
          <w:rStyle w:val="eop"/>
          <w:rFonts w:ascii="Calibri" w:hAnsi="Calibri" w:cs="Calibri"/>
          <w:sz w:val="22"/>
          <w:szCs w:val="22"/>
        </w:rPr>
        <w:t> </w:t>
      </w:r>
    </w:p>
    <w:p w:rsidR="005559D8" w:rsidP="005559D8" w:rsidRDefault="005559D8" w14:paraId="207100A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1</w:t>
      </w:r>
      <w:r>
        <w:rPr>
          <w:rStyle w:val="normaltextrun"/>
          <w:rFonts w:ascii="Calibri" w:hAnsi="Calibri" w:cs="Calibri"/>
          <w:color w:val="2F5496"/>
          <w:sz w:val="22"/>
          <w:szCs w:val="22"/>
        </w:rPr>
        <w:t xml:space="preserve"> </w:t>
      </w:r>
      <w:r>
        <w:rPr>
          <w:rStyle w:val="normaltextrun"/>
          <w:rFonts w:ascii="Calibri" w:hAnsi="Calibri" w:cs="Calibri"/>
          <w:sz w:val="22"/>
          <w:szCs w:val="22"/>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r>
        <w:rPr>
          <w:rStyle w:val="eop"/>
          <w:rFonts w:ascii="Calibri" w:hAnsi="Calibri" w:cs="Calibri"/>
          <w:sz w:val="22"/>
          <w:szCs w:val="22"/>
        </w:rPr>
        <w:t> </w:t>
      </w:r>
    </w:p>
    <w:p w:rsidR="005559D8" w:rsidP="005559D8" w:rsidRDefault="005559D8" w14:paraId="2A31F38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2</w:t>
      </w:r>
      <w:r>
        <w:rPr>
          <w:rStyle w:val="normaltextrun"/>
          <w:rFonts w:ascii="Calibri" w:hAnsi="Calibri" w:cs="Calibri"/>
          <w:color w:val="2F5496"/>
          <w:sz w:val="22"/>
          <w:szCs w:val="22"/>
        </w:rPr>
        <w:t xml:space="preserve"> </w:t>
      </w:r>
      <w:r>
        <w:rPr>
          <w:rStyle w:val="normaltextrun"/>
          <w:rFonts w:ascii="Calibri" w:hAnsi="Calibri" w:cs="Calibri"/>
          <w:sz w:val="22"/>
          <w:szCs w:val="22"/>
        </w:rPr>
        <w:t>–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r>
        <w:rPr>
          <w:rStyle w:val="eop"/>
          <w:rFonts w:ascii="Calibri" w:hAnsi="Calibri" w:cs="Calibri"/>
          <w:sz w:val="22"/>
          <w:szCs w:val="22"/>
        </w:rPr>
        <w:t> </w:t>
      </w:r>
    </w:p>
    <w:p w:rsidR="005559D8" w:rsidP="005559D8" w:rsidRDefault="005559D8" w14:paraId="5957A5F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Annual and Biennial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Typically, </w:t>
      </w:r>
      <w:proofErr w:type="gramStart"/>
      <w:r>
        <w:rPr>
          <w:rStyle w:val="normaltextrun"/>
          <w:rFonts w:ascii="Calibri" w:hAnsi="Calibri" w:cs="Calibri"/>
          <w:sz w:val="22"/>
          <w:szCs w:val="22"/>
        </w:rPr>
        <w:t>annual</w:t>
      </w:r>
      <w:proofErr w:type="gramEnd"/>
      <w:r>
        <w:rPr>
          <w:rStyle w:val="normaltextrun"/>
          <w:rFonts w:ascii="Calibri" w:hAnsi="Calibri" w:cs="Calibri"/>
          <w:sz w:val="22"/>
          <w:szCs w:val="22"/>
        </w:rPr>
        <w:t xml:space="preserve"> and biennial weed competition is not a big problem in prairie plantings as they are short lived and </w:t>
      </w:r>
      <w:r>
        <w:rPr>
          <w:rStyle w:val="advancedproofingissue"/>
          <w:rFonts w:ascii="Calibri" w:hAnsi="Calibri" w:cs="Calibri"/>
          <w:sz w:val="22"/>
          <w:szCs w:val="22"/>
        </w:rPr>
        <w:t>as long as</w:t>
      </w:r>
      <w:r>
        <w:rPr>
          <w:rStyle w:val="normaltextrun"/>
          <w:rFonts w:ascii="Calibri" w:hAnsi="Calibri" w:cs="Calibri"/>
          <w:sz w:val="22"/>
          <w:szCs w:val="22"/>
        </w:rPr>
        <w:t xml:space="preserve"> mowing is conducted before seed is set, they should not add additional seed into the planting. </w:t>
      </w:r>
      <w:r>
        <w:rPr>
          <w:rStyle w:val="eop"/>
          <w:rFonts w:ascii="Calibri" w:hAnsi="Calibri" w:cs="Calibri"/>
          <w:sz w:val="22"/>
          <w:szCs w:val="22"/>
        </w:rPr>
        <w:t> </w:t>
      </w:r>
    </w:p>
    <w:p w:rsidR="005559D8" w:rsidP="005559D8" w:rsidRDefault="005559D8" w14:paraId="128678C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Perennial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Dense establishment of perennial species can be a problem as it can prevent the establishment of forbs. Prescribed burning, prescribed grazing, and/or herbicide application may be needed to manage perennial weeds.  </w:t>
      </w:r>
      <w:r>
        <w:rPr>
          <w:rStyle w:val="eop"/>
          <w:rFonts w:ascii="Calibri" w:hAnsi="Calibri" w:cs="Calibri"/>
          <w:sz w:val="22"/>
          <w:szCs w:val="22"/>
        </w:rPr>
        <w:t> </w:t>
      </w:r>
    </w:p>
    <w:p w:rsidR="005559D8" w:rsidP="005559D8" w:rsidRDefault="005559D8" w14:paraId="4BD43CC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Low Forb Diversity After Year 3</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If grasses and sedges are establishing successfully but there is a lack of forbs it is recommended to conduct inter-seeding of additional forbs in late fall or after a prescribed fire in spring or fall. See the </w:t>
      </w:r>
      <w:hyperlink w:tgtFrame="_blank" w:history="1" r:id="rId12">
        <w:r>
          <w:rPr>
            <w:rStyle w:val="normaltextrun"/>
            <w:rFonts w:ascii="Calibri" w:hAnsi="Calibri" w:cs="Calibri"/>
            <w:color w:val="2F5496"/>
            <w:sz w:val="22"/>
            <w:szCs w:val="22"/>
            <w:u w:val="single"/>
          </w:rPr>
          <w:t>Xerces Society guide</w:t>
        </w:r>
      </w:hyperlink>
      <w:r>
        <w:rPr>
          <w:rStyle w:val="normaltextrun"/>
          <w:rFonts w:ascii="Calibri" w:hAnsi="Calibri" w:cs="Calibri"/>
          <w:sz w:val="22"/>
          <w:szCs w:val="22"/>
        </w:rPr>
        <w:t xml:space="preserve"> for additional information about inter-seeding wildflowers.</w:t>
      </w:r>
      <w:r>
        <w:rPr>
          <w:rStyle w:val="eop"/>
          <w:rFonts w:ascii="Calibri" w:hAnsi="Calibri" w:cs="Calibri"/>
          <w:sz w:val="22"/>
          <w:szCs w:val="22"/>
        </w:rPr>
        <w:t> </w:t>
      </w:r>
    </w:p>
    <w:p w:rsidR="005559D8" w:rsidRDefault="005559D8" w14:paraId="0C32A28E" w14:textId="77777777"/>
    <w:sectPr w:rsidR="005559D8" w:rsidSect="00DD631F">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D8"/>
    <w:rsid w:val="005515A9"/>
    <w:rsid w:val="00552622"/>
    <w:rsid w:val="005559D8"/>
    <w:rsid w:val="00590C08"/>
    <w:rsid w:val="00870FDE"/>
    <w:rsid w:val="009774BB"/>
    <w:rsid w:val="00DD631F"/>
    <w:rsid w:val="00F27416"/>
    <w:rsid w:val="0ABA3FC6"/>
    <w:rsid w:val="2A01F54F"/>
    <w:rsid w:val="32C3BBF7"/>
    <w:rsid w:val="37B4B872"/>
    <w:rsid w:val="5BE49BE6"/>
    <w:rsid w:val="66C4687F"/>
    <w:rsid w:val="6C85B96F"/>
    <w:rsid w:val="751DE9A0"/>
    <w:rsid w:val="7551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CD79"/>
  <w15:chartTrackingRefBased/>
  <w15:docId w15:val="{E765299C-80D3-47C6-85A5-4B5F16E0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9D8"/>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559D8"/>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5559D8"/>
  </w:style>
  <w:style w:type="character" w:styleId="eop" w:customStyle="1">
    <w:name w:val="eop"/>
    <w:basedOn w:val="DefaultParagraphFont"/>
    <w:rsid w:val="005559D8"/>
  </w:style>
  <w:style w:type="character" w:styleId="contextualspellingandgrammarerror" w:customStyle="1">
    <w:name w:val="contextualspellingandgrammarerror"/>
    <w:basedOn w:val="DefaultParagraphFont"/>
    <w:rsid w:val="005559D8"/>
  </w:style>
  <w:style w:type="character" w:styleId="advancedproofingissue" w:customStyle="1">
    <w:name w:val="advancedproofingissue"/>
    <w:basedOn w:val="DefaultParagraphFont"/>
    <w:rsid w:val="005559D8"/>
  </w:style>
  <w:style w:type="character" w:styleId="spellingerror" w:customStyle="1">
    <w:name w:val="spellingerror"/>
    <w:basedOn w:val="DefaultParagraphFont"/>
    <w:rsid w:val="0055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4402">
      <w:bodyDiv w:val="1"/>
      <w:marLeft w:val="0"/>
      <w:marRight w:val="0"/>
      <w:marTop w:val="0"/>
      <w:marBottom w:val="0"/>
      <w:divBdr>
        <w:top w:val="none" w:sz="0" w:space="0" w:color="auto"/>
        <w:left w:val="none" w:sz="0" w:space="0" w:color="auto"/>
        <w:bottom w:val="none" w:sz="0" w:space="0" w:color="auto"/>
        <w:right w:val="none" w:sz="0" w:space="0" w:color="auto"/>
      </w:divBdr>
    </w:div>
    <w:div w:id="1174301310">
      <w:bodyDiv w:val="1"/>
      <w:marLeft w:val="0"/>
      <w:marRight w:val="0"/>
      <w:marTop w:val="0"/>
      <w:marBottom w:val="0"/>
      <w:divBdr>
        <w:top w:val="none" w:sz="0" w:space="0" w:color="auto"/>
        <w:left w:val="none" w:sz="0" w:space="0" w:color="auto"/>
        <w:bottom w:val="none" w:sz="0" w:space="0" w:color="auto"/>
        <w:right w:val="none" w:sz="0" w:space="0" w:color="auto"/>
      </w:divBdr>
    </w:div>
    <w:div w:id="2102489186">
      <w:bodyDiv w:val="1"/>
      <w:marLeft w:val="0"/>
      <w:marRight w:val="0"/>
      <w:marTop w:val="0"/>
      <w:marBottom w:val="0"/>
      <w:divBdr>
        <w:top w:val="none" w:sz="0" w:space="0" w:color="auto"/>
        <w:left w:val="none" w:sz="0" w:space="0" w:color="auto"/>
        <w:bottom w:val="none" w:sz="0" w:space="0" w:color="auto"/>
        <w:right w:val="none" w:sz="0" w:space="0" w:color="auto"/>
      </w:divBdr>
      <w:divsChild>
        <w:div w:id="450822972">
          <w:marLeft w:val="0"/>
          <w:marRight w:val="0"/>
          <w:marTop w:val="0"/>
          <w:marBottom w:val="0"/>
          <w:divBdr>
            <w:top w:val="none" w:sz="0" w:space="0" w:color="auto"/>
            <w:left w:val="none" w:sz="0" w:space="0" w:color="auto"/>
            <w:bottom w:val="none" w:sz="0" w:space="0" w:color="auto"/>
            <w:right w:val="none" w:sz="0" w:space="0" w:color="auto"/>
          </w:divBdr>
        </w:div>
        <w:div w:id="467675163">
          <w:marLeft w:val="0"/>
          <w:marRight w:val="0"/>
          <w:marTop w:val="0"/>
          <w:marBottom w:val="0"/>
          <w:divBdr>
            <w:top w:val="none" w:sz="0" w:space="0" w:color="auto"/>
            <w:left w:val="none" w:sz="0" w:space="0" w:color="auto"/>
            <w:bottom w:val="none" w:sz="0" w:space="0" w:color="auto"/>
            <w:right w:val="none" w:sz="0" w:space="0" w:color="auto"/>
          </w:divBdr>
        </w:div>
        <w:div w:id="941690696">
          <w:marLeft w:val="0"/>
          <w:marRight w:val="0"/>
          <w:marTop w:val="0"/>
          <w:marBottom w:val="0"/>
          <w:divBdr>
            <w:top w:val="none" w:sz="0" w:space="0" w:color="auto"/>
            <w:left w:val="none" w:sz="0" w:space="0" w:color="auto"/>
            <w:bottom w:val="none" w:sz="0" w:space="0" w:color="auto"/>
            <w:right w:val="none" w:sz="0" w:space="0" w:color="auto"/>
          </w:divBdr>
        </w:div>
        <w:div w:id="1431856068">
          <w:marLeft w:val="0"/>
          <w:marRight w:val="0"/>
          <w:marTop w:val="0"/>
          <w:marBottom w:val="0"/>
          <w:divBdr>
            <w:top w:val="none" w:sz="0" w:space="0" w:color="auto"/>
            <w:left w:val="none" w:sz="0" w:space="0" w:color="auto"/>
            <w:bottom w:val="none" w:sz="0" w:space="0" w:color="auto"/>
            <w:right w:val="none" w:sz="0" w:space="0" w:color="auto"/>
          </w:divBdr>
        </w:div>
        <w:div w:id="1906063951">
          <w:marLeft w:val="0"/>
          <w:marRight w:val="0"/>
          <w:marTop w:val="0"/>
          <w:marBottom w:val="0"/>
          <w:divBdr>
            <w:top w:val="none" w:sz="0" w:space="0" w:color="auto"/>
            <w:left w:val="none" w:sz="0" w:space="0" w:color="auto"/>
            <w:bottom w:val="none" w:sz="0" w:space="0" w:color="auto"/>
            <w:right w:val="none" w:sz="0" w:space="0" w:color="auto"/>
          </w:divBdr>
        </w:div>
        <w:div w:id="2092192049">
          <w:marLeft w:val="0"/>
          <w:marRight w:val="0"/>
          <w:marTop w:val="0"/>
          <w:marBottom w:val="0"/>
          <w:divBdr>
            <w:top w:val="none" w:sz="0" w:space="0" w:color="auto"/>
            <w:left w:val="none" w:sz="0" w:space="0" w:color="auto"/>
            <w:bottom w:val="none" w:sz="0" w:space="0" w:color="auto"/>
            <w:right w:val="none" w:sz="0" w:space="0" w:color="auto"/>
          </w:divBdr>
        </w:div>
        <w:div w:id="1682126713">
          <w:marLeft w:val="0"/>
          <w:marRight w:val="0"/>
          <w:marTop w:val="0"/>
          <w:marBottom w:val="0"/>
          <w:divBdr>
            <w:top w:val="none" w:sz="0" w:space="0" w:color="auto"/>
            <w:left w:val="none" w:sz="0" w:space="0" w:color="auto"/>
            <w:bottom w:val="none" w:sz="0" w:space="0" w:color="auto"/>
            <w:right w:val="none" w:sz="0" w:space="0" w:color="auto"/>
          </w:divBdr>
        </w:div>
        <w:div w:id="727922882">
          <w:marLeft w:val="0"/>
          <w:marRight w:val="0"/>
          <w:marTop w:val="0"/>
          <w:marBottom w:val="0"/>
          <w:divBdr>
            <w:top w:val="none" w:sz="0" w:space="0" w:color="auto"/>
            <w:left w:val="none" w:sz="0" w:space="0" w:color="auto"/>
            <w:bottom w:val="none" w:sz="0" w:space="0" w:color="auto"/>
            <w:right w:val="none" w:sz="0" w:space="0" w:color="auto"/>
          </w:divBdr>
        </w:div>
        <w:div w:id="2060400842">
          <w:marLeft w:val="0"/>
          <w:marRight w:val="0"/>
          <w:marTop w:val="0"/>
          <w:marBottom w:val="0"/>
          <w:divBdr>
            <w:top w:val="none" w:sz="0" w:space="0" w:color="auto"/>
            <w:left w:val="none" w:sz="0" w:space="0" w:color="auto"/>
            <w:bottom w:val="none" w:sz="0" w:space="0" w:color="auto"/>
            <w:right w:val="none" w:sz="0" w:space="0" w:color="auto"/>
          </w:divBdr>
        </w:div>
        <w:div w:id="670333793">
          <w:marLeft w:val="0"/>
          <w:marRight w:val="0"/>
          <w:marTop w:val="0"/>
          <w:marBottom w:val="0"/>
          <w:divBdr>
            <w:top w:val="none" w:sz="0" w:space="0" w:color="auto"/>
            <w:left w:val="none" w:sz="0" w:space="0" w:color="auto"/>
            <w:bottom w:val="none" w:sz="0" w:space="0" w:color="auto"/>
            <w:right w:val="none" w:sz="0" w:space="0" w:color="auto"/>
          </w:divBdr>
        </w:div>
        <w:div w:id="1678193333">
          <w:marLeft w:val="0"/>
          <w:marRight w:val="0"/>
          <w:marTop w:val="0"/>
          <w:marBottom w:val="0"/>
          <w:divBdr>
            <w:top w:val="none" w:sz="0" w:space="0" w:color="auto"/>
            <w:left w:val="none" w:sz="0" w:space="0" w:color="auto"/>
            <w:bottom w:val="none" w:sz="0" w:space="0" w:color="auto"/>
            <w:right w:val="none" w:sz="0" w:space="0" w:color="auto"/>
          </w:divBdr>
        </w:div>
        <w:div w:id="1365327392">
          <w:marLeft w:val="0"/>
          <w:marRight w:val="0"/>
          <w:marTop w:val="0"/>
          <w:marBottom w:val="0"/>
          <w:divBdr>
            <w:top w:val="none" w:sz="0" w:space="0" w:color="auto"/>
            <w:left w:val="none" w:sz="0" w:space="0" w:color="auto"/>
            <w:bottom w:val="none" w:sz="0" w:space="0" w:color="auto"/>
            <w:right w:val="none" w:sz="0" w:space="0" w:color="auto"/>
          </w:divBdr>
        </w:div>
        <w:div w:id="2045444762">
          <w:marLeft w:val="0"/>
          <w:marRight w:val="0"/>
          <w:marTop w:val="0"/>
          <w:marBottom w:val="0"/>
          <w:divBdr>
            <w:top w:val="none" w:sz="0" w:space="0" w:color="auto"/>
            <w:left w:val="none" w:sz="0" w:space="0" w:color="auto"/>
            <w:bottom w:val="none" w:sz="0" w:space="0" w:color="auto"/>
            <w:right w:val="none" w:sz="0" w:space="0" w:color="auto"/>
          </w:divBdr>
        </w:div>
        <w:div w:id="1730106935">
          <w:marLeft w:val="0"/>
          <w:marRight w:val="0"/>
          <w:marTop w:val="0"/>
          <w:marBottom w:val="0"/>
          <w:divBdr>
            <w:top w:val="none" w:sz="0" w:space="0" w:color="auto"/>
            <w:left w:val="none" w:sz="0" w:space="0" w:color="auto"/>
            <w:bottom w:val="none" w:sz="0" w:space="0" w:color="auto"/>
            <w:right w:val="none" w:sz="0" w:space="0" w:color="auto"/>
          </w:divBdr>
        </w:div>
        <w:div w:id="328753478">
          <w:marLeft w:val="0"/>
          <w:marRight w:val="0"/>
          <w:marTop w:val="0"/>
          <w:marBottom w:val="0"/>
          <w:divBdr>
            <w:top w:val="none" w:sz="0" w:space="0" w:color="auto"/>
            <w:left w:val="none" w:sz="0" w:space="0" w:color="auto"/>
            <w:bottom w:val="none" w:sz="0" w:space="0" w:color="auto"/>
            <w:right w:val="none" w:sz="0" w:space="0" w:color="auto"/>
          </w:divBdr>
        </w:div>
        <w:div w:id="1777560464">
          <w:marLeft w:val="0"/>
          <w:marRight w:val="0"/>
          <w:marTop w:val="0"/>
          <w:marBottom w:val="0"/>
          <w:divBdr>
            <w:top w:val="none" w:sz="0" w:space="0" w:color="auto"/>
            <w:left w:val="none" w:sz="0" w:space="0" w:color="auto"/>
            <w:bottom w:val="none" w:sz="0" w:space="0" w:color="auto"/>
            <w:right w:val="none" w:sz="0" w:space="0" w:color="auto"/>
          </w:divBdr>
        </w:div>
        <w:div w:id="458112319">
          <w:marLeft w:val="0"/>
          <w:marRight w:val="0"/>
          <w:marTop w:val="0"/>
          <w:marBottom w:val="0"/>
          <w:divBdr>
            <w:top w:val="none" w:sz="0" w:space="0" w:color="auto"/>
            <w:left w:val="none" w:sz="0" w:space="0" w:color="auto"/>
            <w:bottom w:val="none" w:sz="0" w:space="0" w:color="auto"/>
            <w:right w:val="none" w:sz="0" w:space="0" w:color="auto"/>
          </w:divBdr>
        </w:div>
        <w:div w:id="1176185414">
          <w:marLeft w:val="0"/>
          <w:marRight w:val="0"/>
          <w:marTop w:val="0"/>
          <w:marBottom w:val="0"/>
          <w:divBdr>
            <w:top w:val="none" w:sz="0" w:space="0" w:color="auto"/>
            <w:left w:val="none" w:sz="0" w:space="0" w:color="auto"/>
            <w:bottom w:val="none" w:sz="0" w:space="0" w:color="auto"/>
            <w:right w:val="none" w:sz="0" w:space="0" w:color="auto"/>
          </w:divBdr>
        </w:div>
        <w:div w:id="1534072263">
          <w:marLeft w:val="0"/>
          <w:marRight w:val="0"/>
          <w:marTop w:val="0"/>
          <w:marBottom w:val="0"/>
          <w:divBdr>
            <w:top w:val="none" w:sz="0" w:space="0" w:color="auto"/>
            <w:left w:val="none" w:sz="0" w:space="0" w:color="auto"/>
            <w:bottom w:val="none" w:sz="0" w:space="0" w:color="auto"/>
            <w:right w:val="none" w:sz="0" w:space="0" w:color="auto"/>
          </w:divBdr>
        </w:div>
        <w:div w:id="268047037">
          <w:marLeft w:val="0"/>
          <w:marRight w:val="0"/>
          <w:marTop w:val="0"/>
          <w:marBottom w:val="0"/>
          <w:divBdr>
            <w:top w:val="none" w:sz="0" w:space="0" w:color="auto"/>
            <w:left w:val="none" w:sz="0" w:space="0" w:color="auto"/>
            <w:bottom w:val="none" w:sz="0" w:space="0" w:color="auto"/>
            <w:right w:val="none" w:sz="0" w:space="0" w:color="auto"/>
          </w:divBdr>
        </w:div>
        <w:div w:id="1460033456">
          <w:marLeft w:val="0"/>
          <w:marRight w:val="0"/>
          <w:marTop w:val="0"/>
          <w:marBottom w:val="0"/>
          <w:divBdr>
            <w:top w:val="none" w:sz="0" w:space="0" w:color="auto"/>
            <w:left w:val="none" w:sz="0" w:space="0" w:color="auto"/>
            <w:bottom w:val="none" w:sz="0" w:space="0" w:color="auto"/>
            <w:right w:val="none" w:sz="0" w:space="0" w:color="auto"/>
          </w:divBdr>
        </w:div>
        <w:div w:id="653070999">
          <w:marLeft w:val="0"/>
          <w:marRight w:val="0"/>
          <w:marTop w:val="0"/>
          <w:marBottom w:val="0"/>
          <w:divBdr>
            <w:top w:val="none" w:sz="0" w:space="0" w:color="auto"/>
            <w:left w:val="none" w:sz="0" w:space="0" w:color="auto"/>
            <w:bottom w:val="none" w:sz="0" w:space="0" w:color="auto"/>
            <w:right w:val="none" w:sz="0" w:space="0" w:color="auto"/>
          </w:divBdr>
        </w:div>
        <w:div w:id="1261373942">
          <w:marLeft w:val="0"/>
          <w:marRight w:val="0"/>
          <w:marTop w:val="0"/>
          <w:marBottom w:val="0"/>
          <w:divBdr>
            <w:top w:val="none" w:sz="0" w:space="0" w:color="auto"/>
            <w:left w:val="none" w:sz="0" w:space="0" w:color="auto"/>
            <w:bottom w:val="none" w:sz="0" w:space="0" w:color="auto"/>
            <w:right w:val="none" w:sz="0" w:space="0" w:color="auto"/>
          </w:divBdr>
        </w:div>
        <w:div w:id="1037395806">
          <w:marLeft w:val="0"/>
          <w:marRight w:val="0"/>
          <w:marTop w:val="0"/>
          <w:marBottom w:val="0"/>
          <w:divBdr>
            <w:top w:val="none" w:sz="0" w:space="0" w:color="auto"/>
            <w:left w:val="none" w:sz="0" w:space="0" w:color="auto"/>
            <w:bottom w:val="none" w:sz="0" w:space="0" w:color="auto"/>
            <w:right w:val="none" w:sz="0" w:space="0" w:color="auto"/>
          </w:divBdr>
        </w:div>
        <w:div w:id="965814523">
          <w:marLeft w:val="0"/>
          <w:marRight w:val="0"/>
          <w:marTop w:val="0"/>
          <w:marBottom w:val="0"/>
          <w:divBdr>
            <w:top w:val="none" w:sz="0" w:space="0" w:color="auto"/>
            <w:left w:val="none" w:sz="0" w:space="0" w:color="auto"/>
            <w:bottom w:val="none" w:sz="0" w:space="0" w:color="auto"/>
            <w:right w:val="none" w:sz="0" w:space="0" w:color="auto"/>
          </w:divBdr>
        </w:div>
        <w:div w:id="816340396">
          <w:marLeft w:val="0"/>
          <w:marRight w:val="0"/>
          <w:marTop w:val="0"/>
          <w:marBottom w:val="0"/>
          <w:divBdr>
            <w:top w:val="none" w:sz="0" w:space="0" w:color="auto"/>
            <w:left w:val="none" w:sz="0" w:space="0" w:color="auto"/>
            <w:bottom w:val="none" w:sz="0" w:space="0" w:color="auto"/>
            <w:right w:val="none" w:sz="0" w:space="0" w:color="auto"/>
          </w:divBdr>
        </w:div>
        <w:div w:id="916940943">
          <w:marLeft w:val="0"/>
          <w:marRight w:val="0"/>
          <w:marTop w:val="0"/>
          <w:marBottom w:val="0"/>
          <w:divBdr>
            <w:top w:val="none" w:sz="0" w:space="0" w:color="auto"/>
            <w:left w:val="none" w:sz="0" w:space="0" w:color="auto"/>
            <w:bottom w:val="none" w:sz="0" w:space="0" w:color="auto"/>
            <w:right w:val="none" w:sz="0" w:space="0" w:color="auto"/>
          </w:divBdr>
        </w:div>
        <w:div w:id="1753354023">
          <w:marLeft w:val="0"/>
          <w:marRight w:val="0"/>
          <w:marTop w:val="0"/>
          <w:marBottom w:val="0"/>
          <w:divBdr>
            <w:top w:val="none" w:sz="0" w:space="0" w:color="auto"/>
            <w:left w:val="none" w:sz="0" w:space="0" w:color="auto"/>
            <w:bottom w:val="none" w:sz="0" w:space="0" w:color="auto"/>
            <w:right w:val="none" w:sz="0" w:space="0" w:color="auto"/>
          </w:divBdr>
        </w:div>
        <w:div w:id="1714311014">
          <w:marLeft w:val="0"/>
          <w:marRight w:val="0"/>
          <w:marTop w:val="0"/>
          <w:marBottom w:val="0"/>
          <w:divBdr>
            <w:top w:val="none" w:sz="0" w:space="0" w:color="auto"/>
            <w:left w:val="none" w:sz="0" w:space="0" w:color="auto"/>
            <w:bottom w:val="none" w:sz="0" w:space="0" w:color="auto"/>
            <w:right w:val="none" w:sz="0" w:space="0" w:color="auto"/>
          </w:divBdr>
        </w:div>
        <w:div w:id="577326140">
          <w:marLeft w:val="0"/>
          <w:marRight w:val="0"/>
          <w:marTop w:val="0"/>
          <w:marBottom w:val="0"/>
          <w:divBdr>
            <w:top w:val="none" w:sz="0" w:space="0" w:color="auto"/>
            <w:left w:val="none" w:sz="0" w:space="0" w:color="auto"/>
            <w:bottom w:val="none" w:sz="0" w:space="0" w:color="auto"/>
            <w:right w:val="none" w:sz="0" w:space="0" w:color="auto"/>
          </w:divBdr>
        </w:div>
        <w:div w:id="1202547926">
          <w:marLeft w:val="0"/>
          <w:marRight w:val="0"/>
          <w:marTop w:val="0"/>
          <w:marBottom w:val="0"/>
          <w:divBdr>
            <w:top w:val="none" w:sz="0" w:space="0" w:color="auto"/>
            <w:left w:val="none" w:sz="0" w:space="0" w:color="auto"/>
            <w:bottom w:val="none" w:sz="0" w:space="0" w:color="auto"/>
            <w:right w:val="none" w:sz="0" w:space="0" w:color="auto"/>
          </w:divBdr>
        </w:div>
        <w:div w:id="1773235023">
          <w:marLeft w:val="0"/>
          <w:marRight w:val="0"/>
          <w:marTop w:val="0"/>
          <w:marBottom w:val="0"/>
          <w:divBdr>
            <w:top w:val="none" w:sz="0" w:space="0" w:color="auto"/>
            <w:left w:val="none" w:sz="0" w:space="0" w:color="auto"/>
            <w:bottom w:val="none" w:sz="0" w:space="0" w:color="auto"/>
            <w:right w:val="none" w:sz="0" w:space="0" w:color="auto"/>
          </w:divBdr>
        </w:div>
        <w:div w:id="1738746511">
          <w:marLeft w:val="0"/>
          <w:marRight w:val="0"/>
          <w:marTop w:val="0"/>
          <w:marBottom w:val="0"/>
          <w:divBdr>
            <w:top w:val="none" w:sz="0" w:space="0" w:color="auto"/>
            <w:left w:val="none" w:sz="0" w:space="0" w:color="auto"/>
            <w:bottom w:val="none" w:sz="0" w:space="0" w:color="auto"/>
            <w:right w:val="none" w:sz="0" w:space="0" w:color="auto"/>
          </w:divBdr>
        </w:div>
        <w:div w:id="1029332485">
          <w:marLeft w:val="0"/>
          <w:marRight w:val="0"/>
          <w:marTop w:val="0"/>
          <w:marBottom w:val="0"/>
          <w:divBdr>
            <w:top w:val="none" w:sz="0" w:space="0" w:color="auto"/>
            <w:left w:val="none" w:sz="0" w:space="0" w:color="auto"/>
            <w:bottom w:val="none" w:sz="0" w:space="0" w:color="auto"/>
            <w:right w:val="none" w:sz="0" w:space="0" w:color="auto"/>
          </w:divBdr>
        </w:div>
        <w:div w:id="367491314">
          <w:marLeft w:val="0"/>
          <w:marRight w:val="0"/>
          <w:marTop w:val="0"/>
          <w:marBottom w:val="0"/>
          <w:divBdr>
            <w:top w:val="none" w:sz="0" w:space="0" w:color="auto"/>
            <w:left w:val="none" w:sz="0" w:space="0" w:color="auto"/>
            <w:bottom w:val="none" w:sz="0" w:space="0" w:color="auto"/>
            <w:right w:val="none" w:sz="0" w:space="0" w:color="auto"/>
          </w:divBdr>
        </w:div>
        <w:div w:id="2066222314">
          <w:marLeft w:val="0"/>
          <w:marRight w:val="0"/>
          <w:marTop w:val="0"/>
          <w:marBottom w:val="0"/>
          <w:divBdr>
            <w:top w:val="none" w:sz="0" w:space="0" w:color="auto"/>
            <w:left w:val="none" w:sz="0" w:space="0" w:color="auto"/>
            <w:bottom w:val="none" w:sz="0" w:space="0" w:color="auto"/>
            <w:right w:val="none" w:sz="0" w:space="0" w:color="auto"/>
          </w:divBdr>
        </w:div>
        <w:div w:id="2071030958">
          <w:marLeft w:val="0"/>
          <w:marRight w:val="0"/>
          <w:marTop w:val="0"/>
          <w:marBottom w:val="0"/>
          <w:divBdr>
            <w:top w:val="none" w:sz="0" w:space="0" w:color="auto"/>
            <w:left w:val="none" w:sz="0" w:space="0" w:color="auto"/>
            <w:bottom w:val="none" w:sz="0" w:space="0" w:color="auto"/>
            <w:right w:val="none" w:sz="0" w:space="0" w:color="auto"/>
          </w:divBdr>
        </w:div>
        <w:div w:id="122578261">
          <w:marLeft w:val="0"/>
          <w:marRight w:val="0"/>
          <w:marTop w:val="0"/>
          <w:marBottom w:val="0"/>
          <w:divBdr>
            <w:top w:val="none" w:sz="0" w:space="0" w:color="auto"/>
            <w:left w:val="none" w:sz="0" w:space="0" w:color="auto"/>
            <w:bottom w:val="none" w:sz="0" w:space="0" w:color="auto"/>
            <w:right w:val="none" w:sz="0" w:space="0" w:color="auto"/>
          </w:divBdr>
        </w:div>
        <w:div w:id="256401073">
          <w:marLeft w:val="0"/>
          <w:marRight w:val="0"/>
          <w:marTop w:val="0"/>
          <w:marBottom w:val="0"/>
          <w:divBdr>
            <w:top w:val="none" w:sz="0" w:space="0" w:color="auto"/>
            <w:left w:val="none" w:sz="0" w:space="0" w:color="auto"/>
            <w:bottom w:val="none" w:sz="0" w:space="0" w:color="auto"/>
            <w:right w:val="none" w:sz="0" w:space="0" w:color="auto"/>
          </w:divBdr>
        </w:div>
        <w:div w:id="1182739948">
          <w:marLeft w:val="0"/>
          <w:marRight w:val="0"/>
          <w:marTop w:val="0"/>
          <w:marBottom w:val="0"/>
          <w:divBdr>
            <w:top w:val="none" w:sz="0" w:space="0" w:color="auto"/>
            <w:left w:val="none" w:sz="0" w:space="0" w:color="auto"/>
            <w:bottom w:val="none" w:sz="0" w:space="0" w:color="auto"/>
            <w:right w:val="none" w:sz="0" w:space="0" w:color="auto"/>
          </w:divBdr>
        </w:div>
        <w:div w:id="1493134064">
          <w:marLeft w:val="0"/>
          <w:marRight w:val="0"/>
          <w:marTop w:val="0"/>
          <w:marBottom w:val="0"/>
          <w:divBdr>
            <w:top w:val="none" w:sz="0" w:space="0" w:color="auto"/>
            <w:left w:val="none" w:sz="0" w:space="0" w:color="auto"/>
            <w:bottom w:val="none" w:sz="0" w:space="0" w:color="auto"/>
            <w:right w:val="none" w:sz="0" w:space="0" w:color="auto"/>
          </w:divBdr>
        </w:div>
        <w:div w:id="696391533">
          <w:marLeft w:val="0"/>
          <w:marRight w:val="0"/>
          <w:marTop w:val="0"/>
          <w:marBottom w:val="0"/>
          <w:divBdr>
            <w:top w:val="none" w:sz="0" w:space="0" w:color="auto"/>
            <w:left w:val="none" w:sz="0" w:space="0" w:color="auto"/>
            <w:bottom w:val="none" w:sz="0" w:space="0" w:color="auto"/>
            <w:right w:val="none" w:sz="0" w:space="0" w:color="auto"/>
          </w:divBdr>
        </w:div>
        <w:div w:id="1061250997">
          <w:marLeft w:val="0"/>
          <w:marRight w:val="0"/>
          <w:marTop w:val="0"/>
          <w:marBottom w:val="0"/>
          <w:divBdr>
            <w:top w:val="none" w:sz="0" w:space="0" w:color="auto"/>
            <w:left w:val="none" w:sz="0" w:space="0" w:color="auto"/>
            <w:bottom w:val="none" w:sz="0" w:space="0" w:color="auto"/>
            <w:right w:val="none" w:sz="0" w:space="0" w:color="auto"/>
          </w:divBdr>
        </w:div>
        <w:div w:id="852721096">
          <w:marLeft w:val="0"/>
          <w:marRight w:val="0"/>
          <w:marTop w:val="0"/>
          <w:marBottom w:val="0"/>
          <w:divBdr>
            <w:top w:val="none" w:sz="0" w:space="0" w:color="auto"/>
            <w:left w:val="none" w:sz="0" w:space="0" w:color="auto"/>
            <w:bottom w:val="none" w:sz="0" w:space="0" w:color="auto"/>
            <w:right w:val="none" w:sz="0" w:space="0" w:color="auto"/>
          </w:divBdr>
        </w:div>
        <w:div w:id="312954241">
          <w:marLeft w:val="0"/>
          <w:marRight w:val="0"/>
          <w:marTop w:val="0"/>
          <w:marBottom w:val="0"/>
          <w:divBdr>
            <w:top w:val="none" w:sz="0" w:space="0" w:color="auto"/>
            <w:left w:val="none" w:sz="0" w:space="0" w:color="auto"/>
            <w:bottom w:val="none" w:sz="0" w:space="0" w:color="auto"/>
            <w:right w:val="none" w:sz="0" w:space="0" w:color="auto"/>
          </w:divBdr>
        </w:div>
        <w:div w:id="1809542169">
          <w:marLeft w:val="0"/>
          <w:marRight w:val="0"/>
          <w:marTop w:val="0"/>
          <w:marBottom w:val="0"/>
          <w:divBdr>
            <w:top w:val="none" w:sz="0" w:space="0" w:color="auto"/>
            <w:left w:val="none" w:sz="0" w:space="0" w:color="auto"/>
            <w:bottom w:val="none" w:sz="0" w:space="0" w:color="auto"/>
            <w:right w:val="none" w:sz="0" w:space="0" w:color="auto"/>
          </w:divBdr>
        </w:div>
        <w:div w:id="758523739">
          <w:marLeft w:val="0"/>
          <w:marRight w:val="0"/>
          <w:marTop w:val="0"/>
          <w:marBottom w:val="0"/>
          <w:divBdr>
            <w:top w:val="none" w:sz="0" w:space="0" w:color="auto"/>
            <w:left w:val="none" w:sz="0" w:space="0" w:color="auto"/>
            <w:bottom w:val="none" w:sz="0" w:space="0" w:color="auto"/>
            <w:right w:val="none" w:sz="0" w:space="0" w:color="auto"/>
          </w:divBdr>
        </w:div>
        <w:div w:id="1722941581">
          <w:marLeft w:val="0"/>
          <w:marRight w:val="0"/>
          <w:marTop w:val="0"/>
          <w:marBottom w:val="0"/>
          <w:divBdr>
            <w:top w:val="none" w:sz="0" w:space="0" w:color="auto"/>
            <w:left w:val="none" w:sz="0" w:space="0" w:color="auto"/>
            <w:bottom w:val="none" w:sz="0" w:space="0" w:color="auto"/>
            <w:right w:val="none" w:sz="0" w:space="0" w:color="auto"/>
          </w:divBdr>
        </w:div>
        <w:div w:id="512959157">
          <w:marLeft w:val="0"/>
          <w:marRight w:val="0"/>
          <w:marTop w:val="0"/>
          <w:marBottom w:val="0"/>
          <w:divBdr>
            <w:top w:val="none" w:sz="0" w:space="0" w:color="auto"/>
            <w:left w:val="none" w:sz="0" w:space="0" w:color="auto"/>
            <w:bottom w:val="none" w:sz="0" w:space="0" w:color="auto"/>
            <w:right w:val="none" w:sz="0" w:space="0" w:color="auto"/>
          </w:divBdr>
        </w:div>
        <w:div w:id="21975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hyperlink" Target="https://xerces.org/publications/guidelines/organic-site-preparation-for-wildflower-establishment" TargetMode="External" Id="rId10" /><Relationship Type="http://schemas.openxmlformats.org/officeDocument/2006/relationships/styles" Target="styles.xml" Id="rId4" /><Relationship Type="http://schemas.openxmlformats.org/officeDocument/2006/relationships/hyperlink" Target="https://bwsr.state.mn.us/sites/default/files/2021-02/seedmix-substitution.pdf" TargetMode="External" Id="rId9" /><Relationship Type="http://schemas.openxmlformats.org/officeDocument/2006/relationships/theme" Target="theme/theme1.xml" Id="rId14" /><Relationship Type="http://schemas.openxmlformats.org/officeDocument/2006/relationships/hyperlink" Target="https://bwsr.state.mn.us/seed-mixes" TargetMode="External" Id="R545318327aa54f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AAB80-F667-4C3E-B6B1-56C706A40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DE93B-5775-43C9-9D14-10C5FCDD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88556-E2CA-450E-86FA-EF17A0EFEB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Rost, Cecelia (She/Her/Hers) (BWSR)</dc:creator>
  <keywords/>
  <dc:description/>
  <lastModifiedBy>Shaw, Dan B (BWSR)</lastModifiedBy>
  <revision>11</revision>
  <dcterms:created xsi:type="dcterms:W3CDTF">2023-08-01T18:39:00.0000000Z</dcterms:created>
  <dcterms:modified xsi:type="dcterms:W3CDTF">2024-04-09T21:35:56.7004087Z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